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93" w:rsidRPr="00317423" w:rsidRDefault="00151A93" w:rsidP="005A65D5">
      <w:pPr>
        <w:pBdr>
          <w:bottom w:val="single" w:sz="12" w:space="1" w:color="auto"/>
        </w:pBdr>
        <w:spacing w:after="0"/>
        <w:jc w:val="both"/>
        <w:rPr>
          <w:rFonts w:cs="Arial"/>
          <w:b/>
          <w:sz w:val="28"/>
          <w:szCs w:val="28"/>
        </w:rPr>
      </w:pPr>
      <w:r w:rsidRPr="00317423">
        <w:rPr>
          <w:rFonts w:cs="Arial"/>
          <w:b/>
          <w:sz w:val="28"/>
          <w:szCs w:val="28"/>
        </w:rPr>
        <w:t>The County Council's Revenue</w:t>
      </w:r>
      <w:r w:rsidR="00DF5474" w:rsidRPr="00317423">
        <w:rPr>
          <w:rFonts w:cs="Arial"/>
          <w:b/>
          <w:sz w:val="28"/>
          <w:szCs w:val="28"/>
        </w:rPr>
        <w:t xml:space="preserve"> Bu</w:t>
      </w:r>
      <w:r w:rsidR="005A79EE" w:rsidRPr="00317423">
        <w:rPr>
          <w:rFonts w:cs="Arial"/>
          <w:b/>
          <w:sz w:val="28"/>
          <w:szCs w:val="28"/>
        </w:rPr>
        <w:t>dget and Council Tax for 201</w:t>
      </w:r>
      <w:r w:rsidR="006D5753" w:rsidRPr="00317423">
        <w:rPr>
          <w:rFonts w:cs="Arial"/>
          <w:b/>
          <w:sz w:val="28"/>
          <w:szCs w:val="28"/>
        </w:rPr>
        <w:t>6</w:t>
      </w:r>
      <w:r w:rsidR="005A79EE" w:rsidRPr="00317423">
        <w:rPr>
          <w:rFonts w:cs="Arial"/>
          <w:b/>
          <w:sz w:val="28"/>
          <w:szCs w:val="28"/>
        </w:rPr>
        <w:t>/1</w:t>
      </w:r>
      <w:r w:rsidR="006D5753" w:rsidRPr="00317423">
        <w:rPr>
          <w:rFonts w:cs="Arial"/>
          <w:b/>
          <w:sz w:val="28"/>
          <w:szCs w:val="28"/>
        </w:rPr>
        <w:t>7</w:t>
      </w:r>
      <w:r w:rsidRPr="00317423">
        <w:rPr>
          <w:rFonts w:cs="Arial"/>
          <w:b/>
          <w:sz w:val="28"/>
          <w:szCs w:val="28"/>
        </w:rPr>
        <w:t xml:space="preserve"> and Capital Investment Programme for 201</w:t>
      </w:r>
      <w:r w:rsidR="006D5753" w:rsidRPr="00317423">
        <w:rPr>
          <w:rFonts w:cs="Arial"/>
          <w:b/>
          <w:sz w:val="28"/>
          <w:szCs w:val="28"/>
        </w:rPr>
        <w:t>6</w:t>
      </w:r>
      <w:r w:rsidR="005A79EE" w:rsidRPr="00317423">
        <w:rPr>
          <w:rFonts w:cs="Arial"/>
          <w:b/>
          <w:sz w:val="28"/>
          <w:szCs w:val="28"/>
        </w:rPr>
        <w:t>/1</w:t>
      </w:r>
      <w:r w:rsidR="006D5753" w:rsidRPr="00317423">
        <w:rPr>
          <w:rFonts w:cs="Arial"/>
          <w:b/>
          <w:sz w:val="28"/>
          <w:szCs w:val="28"/>
        </w:rPr>
        <w:t>7</w:t>
      </w:r>
      <w:r w:rsidRPr="00317423">
        <w:rPr>
          <w:rFonts w:cs="Arial"/>
          <w:b/>
          <w:sz w:val="28"/>
          <w:szCs w:val="28"/>
        </w:rPr>
        <w:t xml:space="preserve"> and </w:t>
      </w:r>
      <w:r w:rsidR="00DF5474" w:rsidRPr="00317423">
        <w:rPr>
          <w:rFonts w:cs="Arial"/>
          <w:b/>
          <w:sz w:val="28"/>
          <w:szCs w:val="28"/>
        </w:rPr>
        <w:t>future years</w:t>
      </w:r>
    </w:p>
    <w:p w:rsidR="005A65D5" w:rsidRPr="005A65D5" w:rsidRDefault="005A65D5" w:rsidP="005A65D5">
      <w:pPr>
        <w:spacing w:after="0"/>
        <w:jc w:val="both"/>
        <w:rPr>
          <w:rFonts w:cs="Arial"/>
          <w:b/>
          <w:szCs w:val="24"/>
        </w:rPr>
      </w:pPr>
    </w:p>
    <w:p w:rsidR="00151A93" w:rsidRDefault="005A65D5" w:rsidP="005A65D5">
      <w:pPr>
        <w:spacing w:after="0"/>
        <w:jc w:val="both"/>
        <w:rPr>
          <w:rFonts w:cs="Arial"/>
          <w:b/>
          <w:szCs w:val="24"/>
        </w:rPr>
      </w:pPr>
      <w:r>
        <w:rPr>
          <w:rFonts w:cs="Arial"/>
          <w:b/>
          <w:szCs w:val="24"/>
        </w:rPr>
        <w:t xml:space="preserve">1. </w:t>
      </w:r>
      <w:r w:rsidR="00151A93" w:rsidRPr="005A65D5">
        <w:rPr>
          <w:rFonts w:cs="Arial"/>
          <w:b/>
          <w:szCs w:val="24"/>
        </w:rPr>
        <w:t>Introduction</w:t>
      </w:r>
    </w:p>
    <w:p w:rsidR="005A65D5" w:rsidRPr="005A65D5" w:rsidRDefault="005A65D5" w:rsidP="005A65D5">
      <w:pPr>
        <w:spacing w:after="0"/>
        <w:jc w:val="both"/>
        <w:rPr>
          <w:rFonts w:cs="Arial"/>
          <w:b/>
          <w:szCs w:val="24"/>
        </w:rPr>
      </w:pPr>
    </w:p>
    <w:p w:rsidR="006D5753" w:rsidRDefault="005F6645" w:rsidP="004321DB">
      <w:pPr>
        <w:spacing w:after="0"/>
        <w:jc w:val="both"/>
        <w:rPr>
          <w:rFonts w:cs="Arial"/>
          <w:szCs w:val="24"/>
        </w:rPr>
      </w:pPr>
      <w:r w:rsidRPr="005A65D5">
        <w:rPr>
          <w:rFonts w:cs="Arial"/>
          <w:szCs w:val="24"/>
        </w:rPr>
        <w:t>The Council has faced an unprecedented period of financial challenge</w:t>
      </w:r>
      <w:r w:rsidR="003B5C24" w:rsidRPr="005A65D5">
        <w:rPr>
          <w:rFonts w:cs="Arial"/>
          <w:szCs w:val="24"/>
        </w:rPr>
        <w:t xml:space="preserve"> since austerity began in 2010. </w:t>
      </w:r>
      <w:r w:rsidRPr="005A65D5">
        <w:rPr>
          <w:rFonts w:cs="Arial"/>
          <w:szCs w:val="24"/>
        </w:rPr>
        <w:t xml:space="preserve"> </w:t>
      </w:r>
      <w:r w:rsidR="003B5C24" w:rsidRPr="005A65D5">
        <w:rPr>
          <w:rFonts w:cs="Arial"/>
          <w:szCs w:val="24"/>
        </w:rPr>
        <w:t>T</w:t>
      </w:r>
      <w:r w:rsidRPr="005A65D5">
        <w:rPr>
          <w:rFonts w:cs="Arial"/>
          <w:szCs w:val="24"/>
        </w:rPr>
        <w:t xml:space="preserve">he funding provided by </w:t>
      </w:r>
      <w:r w:rsidR="00D23FFB">
        <w:rPr>
          <w:rFonts w:cs="Arial"/>
          <w:szCs w:val="24"/>
        </w:rPr>
        <w:t xml:space="preserve">central </w:t>
      </w:r>
      <w:r w:rsidRPr="005A65D5">
        <w:rPr>
          <w:rFonts w:cs="Arial"/>
          <w:szCs w:val="24"/>
        </w:rPr>
        <w:t xml:space="preserve">government to the </w:t>
      </w:r>
      <w:r w:rsidR="008736A8">
        <w:rPr>
          <w:rFonts w:cs="Arial"/>
          <w:szCs w:val="24"/>
        </w:rPr>
        <w:t xml:space="preserve">County </w:t>
      </w:r>
      <w:r w:rsidRPr="005A65D5">
        <w:rPr>
          <w:rFonts w:cs="Arial"/>
          <w:szCs w:val="24"/>
        </w:rPr>
        <w:t xml:space="preserve">Council </w:t>
      </w:r>
      <w:r w:rsidR="003B5C24" w:rsidRPr="005A65D5">
        <w:rPr>
          <w:rFonts w:cs="Arial"/>
          <w:szCs w:val="24"/>
        </w:rPr>
        <w:t xml:space="preserve">has </w:t>
      </w:r>
      <w:r w:rsidRPr="005A65D5">
        <w:rPr>
          <w:rFonts w:cs="Arial"/>
          <w:szCs w:val="24"/>
        </w:rPr>
        <w:t>fall</w:t>
      </w:r>
      <w:r w:rsidR="003B5C24" w:rsidRPr="005A65D5">
        <w:rPr>
          <w:rFonts w:cs="Arial"/>
          <w:szCs w:val="24"/>
        </w:rPr>
        <w:t>en</w:t>
      </w:r>
      <w:r w:rsidRPr="005A65D5">
        <w:rPr>
          <w:rFonts w:cs="Arial"/>
          <w:szCs w:val="24"/>
        </w:rPr>
        <w:t xml:space="preserve"> </w:t>
      </w:r>
      <w:r w:rsidRPr="006F7838">
        <w:rPr>
          <w:rFonts w:cs="Arial"/>
          <w:szCs w:val="24"/>
        </w:rPr>
        <w:t xml:space="preserve">by </w:t>
      </w:r>
      <w:r w:rsidR="006F7838" w:rsidRPr="006F7838">
        <w:rPr>
          <w:rFonts w:cs="Arial"/>
          <w:szCs w:val="24"/>
        </w:rPr>
        <w:t>50</w:t>
      </w:r>
      <w:r w:rsidRPr="006F7838">
        <w:rPr>
          <w:rFonts w:cs="Arial"/>
          <w:szCs w:val="24"/>
        </w:rPr>
        <w:t>%</w:t>
      </w:r>
      <w:r w:rsidRPr="005A65D5">
        <w:rPr>
          <w:rFonts w:cs="Arial"/>
          <w:szCs w:val="24"/>
        </w:rPr>
        <w:t xml:space="preserve"> from 2011/12 to 201</w:t>
      </w:r>
      <w:r w:rsidR="006D5753" w:rsidRPr="005A65D5">
        <w:rPr>
          <w:rFonts w:cs="Arial"/>
          <w:szCs w:val="24"/>
        </w:rPr>
        <w:t>5/</w:t>
      </w:r>
      <w:r w:rsidRPr="005A65D5">
        <w:rPr>
          <w:rFonts w:cs="Arial"/>
          <w:szCs w:val="24"/>
        </w:rPr>
        <w:t>1</w:t>
      </w:r>
      <w:r w:rsidR="006D5753" w:rsidRPr="005A65D5">
        <w:rPr>
          <w:rFonts w:cs="Arial"/>
          <w:szCs w:val="24"/>
        </w:rPr>
        <w:t xml:space="preserve">6. The Provisional Settlement announced by the Secretary of State shows that the funding from 2015/16 (with the SFA for 2015/16 adjusted to reflect change in grants included within the SFA) to 2019/20 is showing a </w:t>
      </w:r>
      <w:r w:rsidR="00237B6B">
        <w:rPr>
          <w:rFonts w:cs="Arial"/>
          <w:szCs w:val="24"/>
        </w:rPr>
        <w:t xml:space="preserve">further </w:t>
      </w:r>
      <w:r w:rsidR="006D5753" w:rsidRPr="005A65D5">
        <w:rPr>
          <w:rFonts w:cs="Arial"/>
          <w:szCs w:val="24"/>
        </w:rPr>
        <w:t>reduction of £117.7m (34.7%).</w:t>
      </w:r>
    </w:p>
    <w:p w:rsidR="005A65D5" w:rsidRPr="005A65D5" w:rsidRDefault="005A65D5" w:rsidP="004321DB">
      <w:pPr>
        <w:spacing w:after="0"/>
        <w:jc w:val="both"/>
        <w:rPr>
          <w:rFonts w:cs="Arial"/>
          <w:szCs w:val="24"/>
        </w:rPr>
      </w:pPr>
    </w:p>
    <w:p w:rsidR="00035C87" w:rsidRDefault="005D77F3" w:rsidP="004321DB">
      <w:pPr>
        <w:spacing w:after="0"/>
        <w:jc w:val="both"/>
        <w:rPr>
          <w:rFonts w:cs="Arial"/>
          <w:szCs w:val="24"/>
        </w:rPr>
      </w:pPr>
      <w:r w:rsidRPr="005A65D5">
        <w:rPr>
          <w:rFonts w:cs="Arial"/>
          <w:szCs w:val="24"/>
        </w:rPr>
        <w:t xml:space="preserve">In addition to the wider public finance environment, the </w:t>
      </w:r>
      <w:r w:rsidR="008736A8">
        <w:rPr>
          <w:rFonts w:cs="Arial"/>
          <w:szCs w:val="24"/>
        </w:rPr>
        <w:t xml:space="preserve">County </w:t>
      </w:r>
      <w:r w:rsidRPr="005A65D5">
        <w:rPr>
          <w:rFonts w:cs="Arial"/>
          <w:szCs w:val="24"/>
        </w:rPr>
        <w:t xml:space="preserve">Council continues to face significant challenges from </w:t>
      </w:r>
      <w:r w:rsidR="008736A8">
        <w:rPr>
          <w:rFonts w:cs="Arial"/>
          <w:szCs w:val="24"/>
        </w:rPr>
        <w:t>rising costs;</w:t>
      </w:r>
      <w:r w:rsidR="005347EA">
        <w:rPr>
          <w:rFonts w:cs="Arial"/>
          <w:szCs w:val="24"/>
        </w:rPr>
        <w:t xml:space="preserve"> from </w:t>
      </w:r>
      <w:r w:rsidR="008736A8">
        <w:rPr>
          <w:rFonts w:cs="Arial"/>
          <w:szCs w:val="24"/>
        </w:rPr>
        <w:t xml:space="preserve">National Living Wage and contractual </w:t>
      </w:r>
      <w:r w:rsidR="005347EA">
        <w:rPr>
          <w:rFonts w:cs="Arial"/>
          <w:szCs w:val="24"/>
        </w:rPr>
        <w:t>inflation</w:t>
      </w:r>
      <w:r w:rsidR="00035C87">
        <w:rPr>
          <w:rFonts w:cs="Arial"/>
          <w:szCs w:val="24"/>
        </w:rPr>
        <w:t xml:space="preserve"> as well as increasing </w:t>
      </w:r>
      <w:r w:rsidRPr="005A65D5">
        <w:rPr>
          <w:rFonts w:cs="Arial"/>
          <w:szCs w:val="24"/>
        </w:rPr>
        <w:t>demand for its services.</w:t>
      </w:r>
    </w:p>
    <w:p w:rsidR="00035C87" w:rsidRDefault="00035C87" w:rsidP="004321DB">
      <w:pPr>
        <w:spacing w:after="0"/>
        <w:jc w:val="both"/>
        <w:rPr>
          <w:rFonts w:cs="Arial"/>
          <w:szCs w:val="24"/>
        </w:rPr>
      </w:pPr>
    </w:p>
    <w:p w:rsidR="00D40226" w:rsidRDefault="00035C87" w:rsidP="004321DB">
      <w:pPr>
        <w:spacing w:after="0"/>
        <w:jc w:val="both"/>
        <w:rPr>
          <w:rFonts w:cs="Arial"/>
          <w:szCs w:val="24"/>
        </w:rPr>
      </w:pPr>
      <w:r>
        <w:rPr>
          <w:rFonts w:cs="Arial"/>
          <w:szCs w:val="24"/>
        </w:rPr>
        <w:t>T</w:t>
      </w:r>
      <w:r w:rsidR="006D5753" w:rsidRPr="005A65D5">
        <w:rPr>
          <w:rFonts w:cs="Arial"/>
          <w:szCs w:val="24"/>
        </w:rPr>
        <w:t>he current Medium Term Financial Strategy estimates that</w:t>
      </w:r>
      <w:r w:rsidR="005D77F3" w:rsidRPr="005A65D5">
        <w:rPr>
          <w:rFonts w:cs="Arial"/>
          <w:szCs w:val="24"/>
        </w:rPr>
        <w:t xml:space="preserve"> </w:t>
      </w:r>
      <w:r w:rsidR="004C63E1" w:rsidRPr="005A65D5">
        <w:rPr>
          <w:rFonts w:cs="Arial"/>
          <w:szCs w:val="24"/>
        </w:rPr>
        <w:t>in</w:t>
      </w:r>
      <w:r w:rsidR="005D77F3" w:rsidRPr="005A65D5">
        <w:rPr>
          <w:rFonts w:cs="Arial"/>
          <w:szCs w:val="24"/>
        </w:rPr>
        <w:t xml:space="preserve"> 20</w:t>
      </w:r>
      <w:r w:rsidR="006D5753" w:rsidRPr="005A65D5">
        <w:rPr>
          <w:rFonts w:cs="Arial"/>
          <w:szCs w:val="24"/>
        </w:rPr>
        <w:t>20</w:t>
      </w:r>
      <w:r w:rsidR="005D77F3" w:rsidRPr="005A65D5">
        <w:rPr>
          <w:rFonts w:cs="Arial"/>
          <w:szCs w:val="24"/>
        </w:rPr>
        <w:t>/</w:t>
      </w:r>
      <w:r w:rsidR="006D5753" w:rsidRPr="005A65D5">
        <w:rPr>
          <w:rFonts w:cs="Arial"/>
          <w:szCs w:val="24"/>
        </w:rPr>
        <w:t>21</w:t>
      </w:r>
      <w:r w:rsidR="005D77F3" w:rsidRPr="005A65D5">
        <w:rPr>
          <w:rFonts w:cs="Arial"/>
          <w:szCs w:val="24"/>
        </w:rPr>
        <w:t xml:space="preserve"> the </w:t>
      </w:r>
      <w:r w:rsidR="008736A8">
        <w:rPr>
          <w:rFonts w:cs="Arial"/>
          <w:szCs w:val="24"/>
        </w:rPr>
        <w:t xml:space="preserve">County </w:t>
      </w:r>
      <w:r w:rsidR="005D77F3" w:rsidRPr="005A65D5">
        <w:rPr>
          <w:rFonts w:cs="Arial"/>
          <w:szCs w:val="24"/>
        </w:rPr>
        <w:t>Council will have a net budget available of £</w:t>
      </w:r>
      <w:r w:rsidR="004C63E1" w:rsidRPr="005A65D5">
        <w:rPr>
          <w:rFonts w:cs="Arial"/>
          <w:szCs w:val="24"/>
        </w:rPr>
        <w:t>6</w:t>
      </w:r>
      <w:r w:rsidR="009E6B90">
        <w:rPr>
          <w:rFonts w:cs="Arial"/>
          <w:szCs w:val="24"/>
        </w:rPr>
        <w:t>82</w:t>
      </w:r>
      <w:r w:rsidR="005D77F3" w:rsidRPr="005A65D5">
        <w:rPr>
          <w:rFonts w:cs="Arial"/>
          <w:szCs w:val="24"/>
        </w:rPr>
        <w:t>m</w:t>
      </w:r>
      <w:r w:rsidR="004C63E1" w:rsidRPr="005A65D5">
        <w:rPr>
          <w:rFonts w:cs="Arial"/>
          <w:szCs w:val="24"/>
        </w:rPr>
        <w:t>. This compares to</w:t>
      </w:r>
      <w:r w:rsidR="005D77F3" w:rsidRPr="005A65D5">
        <w:rPr>
          <w:rFonts w:cs="Arial"/>
          <w:szCs w:val="24"/>
        </w:rPr>
        <w:t xml:space="preserve"> </w:t>
      </w:r>
      <w:r w:rsidR="0043791F">
        <w:rPr>
          <w:rFonts w:cs="Arial"/>
          <w:szCs w:val="24"/>
        </w:rPr>
        <w:t>£727</w:t>
      </w:r>
      <w:r w:rsidR="009E6B90">
        <w:rPr>
          <w:rFonts w:cs="Arial"/>
          <w:szCs w:val="24"/>
        </w:rPr>
        <w:t>m</w:t>
      </w:r>
      <w:r w:rsidR="005347EA">
        <w:rPr>
          <w:rFonts w:cs="Arial"/>
          <w:szCs w:val="24"/>
        </w:rPr>
        <w:t xml:space="preserve"> </w:t>
      </w:r>
      <w:r w:rsidR="005D77F3" w:rsidRPr="005A65D5">
        <w:rPr>
          <w:rFonts w:cs="Arial"/>
          <w:szCs w:val="24"/>
        </w:rPr>
        <w:t>in 201</w:t>
      </w:r>
      <w:r w:rsidR="009E6B90">
        <w:rPr>
          <w:rFonts w:cs="Arial"/>
          <w:szCs w:val="24"/>
        </w:rPr>
        <w:t>5</w:t>
      </w:r>
      <w:r w:rsidR="005D77F3" w:rsidRPr="005A65D5">
        <w:rPr>
          <w:rFonts w:cs="Arial"/>
          <w:szCs w:val="24"/>
        </w:rPr>
        <w:t>/1</w:t>
      </w:r>
      <w:r w:rsidR="009E6B90">
        <w:rPr>
          <w:rFonts w:cs="Arial"/>
          <w:szCs w:val="24"/>
        </w:rPr>
        <w:t>6</w:t>
      </w:r>
      <w:r w:rsidR="005D77F3" w:rsidRPr="005A65D5">
        <w:rPr>
          <w:rFonts w:cs="Arial"/>
          <w:szCs w:val="24"/>
        </w:rPr>
        <w:t xml:space="preserve">. </w:t>
      </w:r>
      <w:r w:rsidR="009E6B90">
        <w:rPr>
          <w:rFonts w:cs="Arial"/>
          <w:szCs w:val="24"/>
        </w:rPr>
        <w:t>From</w:t>
      </w:r>
      <w:r w:rsidR="005D77F3" w:rsidRPr="005A65D5">
        <w:rPr>
          <w:rFonts w:cs="Arial"/>
          <w:szCs w:val="24"/>
        </w:rPr>
        <w:t xml:space="preserve"> 201</w:t>
      </w:r>
      <w:r w:rsidR="004C63E1" w:rsidRPr="005A65D5">
        <w:rPr>
          <w:rFonts w:cs="Arial"/>
          <w:szCs w:val="24"/>
        </w:rPr>
        <w:t>6</w:t>
      </w:r>
      <w:r w:rsidR="005D77F3" w:rsidRPr="005A65D5">
        <w:rPr>
          <w:rFonts w:cs="Arial"/>
          <w:szCs w:val="24"/>
        </w:rPr>
        <w:t>/1</w:t>
      </w:r>
      <w:r w:rsidR="004C63E1" w:rsidRPr="005A65D5">
        <w:rPr>
          <w:rFonts w:cs="Arial"/>
          <w:szCs w:val="24"/>
        </w:rPr>
        <w:t>7</w:t>
      </w:r>
      <w:r w:rsidR="005D77F3" w:rsidRPr="005A65D5">
        <w:rPr>
          <w:rFonts w:cs="Arial"/>
          <w:szCs w:val="24"/>
        </w:rPr>
        <w:t xml:space="preserve"> to 20</w:t>
      </w:r>
      <w:r w:rsidR="004C63E1" w:rsidRPr="005A65D5">
        <w:rPr>
          <w:rFonts w:cs="Arial"/>
          <w:szCs w:val="24"/>
        </w:rPr>
        <w:t>20</w:t>
      </w:r>
      <w:r w:rsidR="005D77F3" w:rsidRPr="005A65D5">
        <w:rPr>
          <w:rFonts w:cs="Arial"/>
          <w:szCs w:val="24"/>
        </w:rPr>
        <w:t>/</w:t>
      </w:r>
      <w:r w:rsidR="004C63E1" w:rsidRPr="005A65D5">
        <w:rPr>
          <w:rFonts w:cs="Arial"/>
          <w:szCs w:val="24"/>
        </w:rPr>
        <w:t>21</w:t>
      </w:r>
      <w:r w:rsidR="005D77F3" w:rsidRPr="005A65D5">
        <w:rPr>
          <w:rFonts w:cs="Arial"/>
          <w:szCs w:val="24"/>
        </w:rPr>
        <w:t xml:space="preserve"> the </w:t>
      </w:r>
      <w:r w:rsidR="008736A8">
        <w:rPr>
          <w:rFonts w:cs="Arial"/>
          <w:szCs w:val="24"/>
        </w:rPr>
        <w:t xml:space="preserve">County </w:t>
      </w:r>
      <w:r w:rsidR="005D77F3" w:rsidRPr="005A65D5">
        <w:rPr>
          <w:rFonts w:cs="Arial"/>
          <w:szCs w:val="24"/>
        </w:rPr>
        <w:t xml:space="preserve">Council needs to make </w:t>
      </w:r>
      <w:r>
        <w:rPr>
          <w:rFonts w:cs="Arial"/>
          <w:szCs w:val="24"/>
        </w:rPr>
        <w:t>a furt</w:t>
      </w:r>
      <w:r w:rsidR="00B54A96">
        <w:rPr>
          <w:rFonts w:cs="Arial"/>
          <w:szCs w:val="24"/>
        </w:rPr>
        <w:t>her £200</w:t>
      </w:r>
      <w:r w:rsidR="0043791F">
        <w:rPr>
          <w:rFonts w:cs="Arial"/>
          <w:szCs w:val="24"/>
        </w:rPr>
        <w:t>.507</w:t>
      </w:r>
      <w:r w:rsidR="00B54A96">
        <w:rPr>
          <w:rFonts w:cs="Arial"/>
          <w:szCs w:val="24"/>
        </w:rPr>
        <w:t>m in addition to the £64.864</w:t>
      </w:r>
      <w:r>
        <w:rPr>
          <w:rFonts w:cs="Arial"/>
          <w:szCs w:val="24"/>
        </w:rPr>
        <w:t xml:space="preserve">m </w:t>
      </w:r>
      <w:r w:rsidR="003B5C24" w:rsidRPr="005A65D5">
        <w:rPr>
          <w:rFonts w:cs="Arial"/>
          <w:szCs w:val="24"/>
        </w:rPr>
        <w:t xml:space="preserve">savings agreed </w:t>
      </w:r>
      <w:r w:rsidR="004C63E1" w:rsidRPr="005A65D5">
        <w:rPr>
          <w:rFonts w:cs="Arial"/>
          <w:szCs w:val="24"/>
        </w:rPr>
        <w:t>Cabinet in November 2015</w:t>
      </w:r>
      <w:r w:rsidR="003B5C24" w:rsidRPr="005A65D5">
        <w:rPr>
          <w:rFonts w:cs="Arial"/>
          <w:szCs w:val="24"/>
        </w:rPr>
        <w:t>.</w:t>
      </w:r>
    </w:p>
    <w:p w:rsidR="005A65D5" w:rsidRPr="005A65D5" w:rsidRDefault="005A65D5" w:rsidP="004321DB">
      <w:pPr>
        <w:spacing w:after="0"/>
        <w:jc w:val="both"/>
        <w:rPr>
          <w:rFonts w:cs="Arial"/>
          <w:szCs w:val="24"/>
        </w:rPr>
      </w:pPr>
    </w:p>
    <w:p w:rsidR="00B748D6" w:rsidRDefault="009112E3" w:rsidP="004321DB">
      <w:pPr>
        <w:spacing w:after="0"/>
        <w:jc w:val="both"/>
        <w:rPr>
          <w:rFonts w:cs="Arial"/>
          <w:szCs w:val="24"/>
        </w:rPr>
      </w:pPr>
      <w:r w:rsidRPr="005A65D5">
        <w:rPr>
          <w:rFonts w:cs="Arial"/>
          <w:szCs w:val="24"/>
        </w:rPr>
        <w:t xml:space="preserve">This </w:t>
      </w:r>
      <w:r w:rsidR="003B5C24" w:rsidRPr="005A65D5">
        <w:rPr>
          <w:rFonts w:cs="Arial"/>
          <w:szCs w:val="24"/>
        </w:rPr>
        <w:t>report sets out the Cabin</w:t>
      </w:r>
      <w:r w:rsidR="00593941" w:rsidRPr="005A65D5">
        <w:rPr>
          <w:rFonts w:cs="Arial"/>
          <w:szCs w:val="24"/>
        </w:rPr>
        <w:t xml:space="preserve">et's proposals to Full Council </w:t>
      </w:r>
      <w:r w:rsidR="003B5C24" w:rsidRPr="005A65D5">
        <w:rPr>
          <w:rFonts w:cs="Arial"/>
          <w:szCs w:val="24"/>
        </w:rPr>
        <w:t>to</w:t>
      </w:r>
      <w:r w:rsidRPr="005A65D5">
        <w:rPr>
          <w:rFonts w:cs="Arial"/>
          <w:szCs w:val="24"/>
        </w:rPr>
        <w:t xml:space="preserve"> meet the financial challenges </w:t>
      </w:r>
      <w:r w:rsidR="003B5C24" w:rsidRPr="005A65D5">
        <w:rPr>
          <w:rFonts w:cs="Arial"/>
          <w:szCs w:val="24"/>
        </w:rPr>
        <w:t>the</w:t>
      </w:r>
      <w:r w:rsidR="008736A8">
        <w:rPr>
          <w:rFonts w:cs="Arial"/>
          <w:szCs w:val="24"/>
        </w:rPr>
        <w:t xml:space="preserve"> County</w:t>
      </w:r>
      <w:r w:rsidR="003B5C24" w:rsidRPr="005A65D5">
        <w:rPr>
          <w:rFonts w:cs="Arial"/>
          <w:szCs w:val="24"/>
        </w:rPr>
        <w:t xml:space="preserve"> Council </w:t>
      </w:r>
      <w:r w:rsidRPr="005A65D5">
        <w:rPr>
          <w:rFonts w:cs="Arial"/>
          <w:szCs w:val="24"/>
        </w:rPr>
        <w:t>faces</w:t>
      </w:r>
      <w:r w:rsidR="00035C87">
        <w:rPr>
          <w:rFonts w:cs="Arial"/>
          <w:szCs w:val="24"/>
        </w:rPr>
        <w:t>,</w:t>
      </w:r>
      <w:r w:rsidRPr="005A65D5">
        <w:rPr>
          <w:rFonts w:cs="Arial"/>
          <w:szCs w:val="24"/>
        </w:rPr>
        <w:t xml:space="preserve"> through a redesign of the services it provides</w:t>
      </w:r>
      <w:r w:rsidR="003B5C24" w:rsidRPr="005A65D5">
        <w:rPr>
          <w:rFonts w:cs="Arial"/>
          <w:szCs w:val="24"/>
        </w:rPr>
        <w:t xml:space="preserve">. The proposals </w:t>
      </w:r>
      <w:r w:rsidR="003808D3" w:rsidRPr="005A65D5">
        <w:rPr>
          <w:rFonts w:cs="Arial"/>
          <w:szCs w:val="24"/>
        </w:rPr>
        <w:t>recognis</w:t>
      </w:r>
      <w:r w:rsidRPr="005A65D5">
        <w:rPr>
          <w:rFonts w:cs="Arial"/>
          <w:szCs w:val="24"/>
        </w:rPr>
        <w:t>e</w:t>
      </w:r>
      <w:r w:rsidR="003808D3" w:rsidRPr="005A65D5">
        <w:rPr>
          <w:rFonts w:cs="Arial"/>
          <w:szCs w:val="24"/>
        </w:rPr>
        <w:t xml:space="preserve"> the financial climate in which the budget is being set and the </w:t>
      </w:r>
      <w:r w:rsidR="009A7115" w:rsidRPr="005A65D5">
        <w:rPr>
          <w:rFonts w:cs="Arial"/>
          <w:szCs w:val="24"/>
        </w:rPr>
        <w:t xml:space="preserve">scale of the </w:t>
      </w:r>
      <w:r w:rsidR="003808D3" w:rsidRPr="005A65D5">
        <w:rPr>
          <w:rFonts w:cs="Arial"/>
          <w:szCs w:val="24"/>
        </w:rPr>
        <w:t xml:space="preserve">financial challenge </w:t>
      </w:r>
      <w:r w:rsidR="009A7115" w:rsidRPr="005A65D5">
        <w:rPr>
          <w:rFonts w:cs="Arial"/>
          <w:szCs w:val="24"/>
        </w:rPr>
        <w:t xml:space="preserve">over the </w:t>
      </w:r>
      <w:r w:rsidRPr="005A65D5">
        <w:rPr>
          <w:rFonts w:cs="Arial"/>
          <w:szCs w:val="24"/>
        </w:rPr>
        <w:t xml:space="preserve">next </w:t>
      </w:r>
      <w:r w:rsidR="004C63E1" w:rsidRPr="005A65D5">
        <w:rPr>
          <w:rFonts w:cs="Arial"/>
          <w:szCs w:val="24"/>
        </w:rPr>
        <w:t>four</w:t>
      </w:r>
      <w:r w:rsidR="009A7115" w:rsidRPr="005A65D5">
        <w:rPr>
          <w:rFonts w:cs="Arial"/>
          <w:szCs w:val="24"/>
        </w:rPr>
        <w:t xml:space="preserve"> </w:t>
      </w:r>
      <w:r w:rsidR="005347EA">
        <w:rPr>
          <w:rFonts w:cs="Arial"/>
          <w:szCs w:val="24"/>
        </w:rPr>
        <w:t>years.</w:t>
      </w:r>
    </w:p>
    <w:p w:rsidR="005347EA" w:rsidRPr="005A65D5" w:rsidRDefault="005347EA" w:rsidP="004321DB">
      <w:pPr>
        <w:spacing w:after="0"/>
        <w:jc w:val="both"/>
        <w:rPr>
          <w:rFonts w:cs="Arial"/>
          <w:szCs w:val="24"/>
        </w:rPr>
      </w:pPr>
    </w:p>
    <w:p w:rsidR="003808D3" w:rsidRDefault="003808D3" w:rsidP="004321DB">
      <w:pPr>
        <w:spacing w:after="0"/>
        <w:jc w:val="both"/>
        <w:rPr>
          <w:rFonts w:cs="Arial"/>
          <w:szCs w:val="24"/>
        </w:rPr>
      </w:pPr>
      <w:r w:rsidRPr="005A65D5">
        <w:rPr>
          <w:rFonts w:cs="Arial"/>
          <w:szCs w:val="24"/>
        </w:rPr>
        <w:t>This report presents for consideration by the</w:t>
      </w:r>
      <w:r w:rsidR="00224963" w:rsidRPr="005A65D5">
        <w:rPr>
          <w:rFonts w:cs="Arial"/>
          <w:szCs w:val="24"/>
        </w:rPr>
        <w:t xml:space="preserve"> Full</w:t>
      </w:r>
      <w:r w:rsidRPr="005A65D5">
        <w:rPr>
          <w:rFonts w:cs="Arial"/>
          <w:szCs w:val="24"/>
        </w:rPr>
        <w:t xml:space="preserve"> Council the </w:t>
      </w:r>
      <w:r w:rsidR="009A7115" w:rsidRPr="005A65D5">
        <w:rPr>
          <w:rFonts w:cs="Arial"/>
          <w:szCs w:val="24"/>
        </w:rPr>
        <w:t xml:space="preserve">recommendations </w:t>
      </w:r>
      <w:r w:rsidRPr="005A65D5">
        <w:rPr>
          <w:rFonts w:cs="Arial"/>
          <w:szCs w:val="24"/>
        </w:rPr>
        <w:t>of the Cabinet for:</w:t>
      </w:r>
    </w:p>
    <w:p w:rsidR="00351D95" w:rsidRPr="005A65D5" w:rsidRDefault="00351D95" w:rsidP="004321DB">
      <w:pPr>
        <w:spacing w:after="0"/>
        <w:jc w:val="both"/>
        <w:rPr>
          <w:rFonts w:cs="Arial"/>
          <w:szCs w:val="24"/>
        </w:rPr>
      </w:pPr>
    </w:p>
    <w:p w:rsidR="003808D3" w:rsidRPr="00317423" w:rsidRDefault="003808D3" w:rsidP="00AA35F3">
      <w:pPr>
        <w:pStyle w:val="ListParagraph"/>
        <w:numPr>
          <w:ilvl w:val="0"/>
          <w:numId w:val="5"/>
        </w:numPr>
        <w:spacing w:after="0"/>
        <w:jc w:val="both"/>
        <w:rPr>
          <w:rFonts w:cs="Arial"/>
          <w:szCs w:val="24"/>
        </w:rPr>
      </w:pPr>
      <w:r w:rsidRPr="00317423">
        <w:rPr>
          <w:rFonts w:cs="Arial"/>
          <w:szCs w:val="24"/>
        </w:rPr>
        <w:t>The revenue budget for</w:t>
      </w:r>
      <w:r w:rsidR="009112E3" w:rsidRPr="00317423">
        <w:rPr>
          <w:rFonts w:cs="Arial"/>
          <w:szCs w:val="24"/>
        </w:rPr>
        <w:t xml:space="preserve"> 201</w:t>
      </w:r>
      <w:r w:rsidR="004C63E1" w:rsidRPr="00317423">
        <w:rPr>
          <w:rFonts w:cs="Arial"/>
          <w:szCs w:val="24"/>
        </w:rPr>
        <w:t>6</w:t>
      </w:r>
      <w:r w:rsidR="009112E3" w:rsidRPr="00317423">
        <w:rPr>
          <w:rFonts w:cs="Arial"/>
          <w:szCs w:val="24"/>
        </w:rPr>
        <w:t>/1</w:t>
      </w:r>
      <w:r w:rsidR="004C63E1" w:rsidRPr="00317423">
        <w:rPr>
          <w:rFonts w:cs="Arial"/>
          <w:szCs w:val="24"/>
        </w:rPr>
        <w:t>7</w:t>
      </w:r>
      <w:r w:rsidRPr="00317423">
        <w:rPr>
          <w:rFonts w:cs="Arial"/>
          <w:szCs w:val="24"/>
        </w:rPr>
        <w:t>;</w:t>
      </w:r>
    </w:p>
    <w:p w:rsidR="003B5C24" w:rsidRPr="00317423" w:rsidRDefault="003B5C24" w:rsidP="00AA35F3">
      <w:pPr>
        <w:pStyle w:val="ListParagraph"/>
        <w:numPr>
          <w:ilvl w:val="0"/>
          <w:numId w:val="5"/>
        </w:numPr>
        <w:spacing w:after="0"/>
        <w:jc w:val="both"/>
        <w:rPr>
          <w:rFonts w:cs="Arial"/>
          <w:szCs w:val="24"/>
        </w:rPr>
      </w:pPr>
      <w:r w:rsidRPr="00317423">
        <w:rPr>
          <w:rFonts w:cs="Arial"/>
          <w:szCs w:val="24"/>
        </w:rPr>
        <w:t>A revised capital investment programme for 201</w:t>
      </w:r>
      <w:r w:rsidR="004C63E1" w:rsidRPr="00317423">
        <w:rPr>
          <w:rFonts w:cs="Arial"/>
          <w:szCs w:val="24"/>
        </w:rPr>
        <w:t>6</w:t>
      </w:r>
      <w:r w:rsidRPr="00317423">
        <w:rPr>
          <w:rFonts w:cs="Arial"/>
          <w:szCs w:val="24"/>
        </w:rPr>
        <w:t>/1</w:t>
      </w:r>
      <w:r w:rsidR="004C63E1" w:rsidRPr="00317423">
        <w:rPr>
          <w:rFonts w:cs="Arial"/>
          <w:szCs w:val="24"/>
        </w:rPr>
        <w:t>7</w:t>
      </w:r>
      <w:r w:rsidRPr="00317423">
        <w:rPr>
          <w:rFonts w:cs="Arial"/>
          <w:szCs w:val="24"/>
        </w:rPr>
        <w:t xml:space="preserve"> and future years</w:t>
      </w:r>
    </w:p>
    <w:p w:rsidR="003808D3" w:rsidRPr="00317423" w:rsidRDefault="009112E3" w:rsidP="00AA35F3">
      <w:pPr>
        <w:pStyle w:val="ListParagraph"/>
        <w:numPr>
          <w:ilvl w:val="0"/>
          <w:numId w:val="5"/>
        </w:numPr>
        <w:spacing w:after="0"/>
        <w:jc w:val="both"/>
        <w:rPr>
          <w:rFonts w:cs="Arial"/>
          <w:szCs w:val="24"/>
        </w:rPr>
      </w:pPr>
      <w:r w:rsidRPr="00317423">
        <w:rPr>
          <w:rFonts w:cs="Arial"/>
          <w:szCs w:val="24"/>
        </w:rPr>
        <w:t>The Council Tax for 201</w:t>
      </w:r>
      <w:r w:rsidR="004C63E1" w:rsidRPr="00317423">
        <w:rPr>
          <w:rFonts w:cs="Arial"/>
          <w:szCs w:val="24"/>
        </w:rPr>
        <w:t>6</w:t>
      </w:r>
      <w:r w:rsidRPr="00317423">
        <w:rPr>
          <w:rFonts w:cs="Arial"/>
          <w:szCs w:val="24"/>
        </w:rPr>
        <w:t>/1</w:t>
      </w:r>
      <w:r w:rsidR="004C63E1" w:rsidRPr="00317423">
        <w:rPr>
          <w:rFonts w:cs="Arial"/>
          <w:szCs w:val="24"/>
        </w:rPr>
        <w:t>7</w:t>
      </w:r>
      <w:r w:rsidR="005A65D5" w:rsidRPr="00317423">
        <w:rPr>
          <w:rFonts w:cs="Arial"/>
          <w:szCs w:val="24"/>
        </w:rPr>
        <w:t>.</w:t>
      </w:r>
    </w:p>
    <w:p w:rsidR="005A65D5" w:rsidRPr="005A65D5" w:rsidRDefault="005A65D5" w:rsidP="004321DB">
      <w:pPr>
        <w:spacing w:after="0"/>
        <w:ind w:left="709" w:hanging="720"/>
        <w:jc w:val="both"/>
        <w:rPr>
          <w:rFonts w:cs="Arial"/>
          <w:szCs w:val="24"/>
        </w:rPr>
      </w:pPr>
    </w:p>
    <w:p w:rsidR="003808D3" w:rsidRDefault="003808D3" w:rsidP="004321DB">
      <w:pPr>
        <w:spacing w:after="0"/>
        <w:jc w:val="both"/>
        <w:rPr>
          <w:rFonts w:cs="Arial"/>
          <w:szCs w:val="24"/>
        </w:rPr>
      </w:pPr>
      <w:r w:rsidRPr="005A65D5">
        <w:rPr>
          <w:rFonts w:cs="Arial"/>
          <w:szCs w:val="24"/>
        </w:rPr>
        <w:t xml:space="preserve">In addition the report sets out the advice of the </w:t>
      </w:r>
      <w:r w:rsidR="009F206C" w:rsidRPr="005A65D5">
        <w:rPr>
          <w:rFonts w:cs="Arial"/>
          <w:szCs w:val="24"/>
        </w:rPr>
        <w:t xml:space="preserve">Interim Director of </w:t>
      </w:r>
      <w:r w:rsidR="0043791F">
        <w:rPr>
          <w:rFonts w:cs="Arial"/>
          <w:szCs w:val="24"/>
        </w:rPr>
        <w:t xml:space="preserve">Financial </w:t>
      </w:r>
      <w:r w:rsidR="009F206C" w:rsidRPr="005A65D5">
        <w:rPr>
          <w:rFonts w:cs="Arial"/>
          <w:szCs w:val="24"/>
        </w:rPr>
        <w:t>Resources</w:t>
      </w:r>
      <w:r w:rsidRPr="005A65D5">
        <w:rPr>
          <w:rFonts w:cs="Arial"/>
          <w:szCs w:val="24"/>
        </w:rPr>
        <w:t xml:space="preserve"> as the Council's statutory Chief Finance Officer on the robustness of the budget and the adequac</w:t>
      </w:r>
      <w:r w:rsidR="005347EA">
        <w:rPr>
          <w:rFonts w:cs="Arial"/>
          <w:szCs w:val="24"/>
        </w:rPr>
        <w:t xml:space="preserve">y of reserves as required by Section </w:t>
      </w:r>
      <w:r w:rsidRPr="005A65D5">
        <w:rPr>
          <w:rFonts w:cs="Arial"/>
          <w:szCs w:val="24"/>
        </w:rPr>
        <w:t>25 of the Local Government Act 2003.</w:t>
      </w:r>
    </w:p>
    <w:p w:rsidR="005A65D5" w:rsidRPr="005A65D5" w:rsidRDefault="005A65D5" w:rsidP="004321DB">
      <w:pPr>
        <w:spacing w:after="0"/>
        <w:jc w:val="both"/>
        <w:rPr>
          <w:rFonts w:cs="Arial"/>
          <w:szCs w:val="24"/>
        </w:rPr>
      </w:pPr>
    </w:p>
    <w:p w:rsidR="003808D3" w:rsidRPr="005A65D5" w:rsidRDefault="005A65D5" w:rsidP="004321DB">
      <w:pPr>
        <w:autoSpaceDE w:val="0"/>
        <w:autoSpaceDN w:val="0"/>
        <w:adjustRightInd w:val="0"/>
        <w:spacing w:after="0"/>
        <w:jc w:val="both"/>
        <w:rPr>
          <w:rFonts w:cs="Arial"/>
          <w:b/>
          <w:color w:val="000000"/>
          <w:szCs w:val="24"/>
        </w:rPr>
      </w:pPr>
      <w:r>
        <w:rPr>
          <w:rFonts w:cs="Arial"/>
          <w:b/>
          <w:color w:val="000000"/>
          <w:szCs w:val="24"/>
        </w:rPr>
        <w:t xml:space="preserve">2. </w:t>
      </w:r>
      <w:r w:rsidR="003808D3" w:rsidRPr="005A65D5">
        <w:rPr>
          <w:rFonts w:cs="Arial"/>
          <w:b/>
          <w:color w:val="000000"/>
          <w:szCs w:val="24"/>
        </w:rPr>
        <w:t>The Budget Process</w:t>
      </w:r>
    </w:p>
    <w:p w:rsidR="003808D3" w:rsidRPr="005A65D5" w:rsidRDefault="003808D3" w:rsidP="004321DB">
      <w:pPr>
        <w:pStyle w:val="ListParagraph"/>
        <w:autoSpaceDE w:val="0"/>
        <w:autoSpaceDN w:val="0"/>
        <w:adjustRightInd w:val="0"/>
        <w:spacing w:after="0"/>
        <w:ind w:left="360"/>
        <w:jc w:val="both"/>
        <w:rPr>
          <w:rFonts w:cs="Arial"/>
          <w:b/>
          <w:color w:val="000000"/>
          <w:szCs w:val="24"/>
        </w:rPr>
      </w:pPr>
    </w:p>
    <w:p w:rsidR="003808D3" w:rsidRPr="005A65D5" w:rsidRDefault="00DF5474" w:rsidP="004321DB">
      <w:pPr>
        <w:autoSpaceDE w:val="0"/>
        <w:autoSpaceDN w:val="0"/>
        <w:adjustRightInd w:val="0"/>
        <w:spacing w:after="0"/>
        <w:jc w:val="both"/>
        <w:rPr>
          <w:rFonts w:cs="Arial"/>
          <w:color w:val="000000"/>
          <w:szCs w:val="24"/>
        </w:rPr>
      </w:pPr>
      <w:r w:rsidRPr="005A65D5">
        <w:rPr>
          <w:rFonts w:cs="Arial"/>
          <w:color w:val="000000"/>
          <w:szCs w:val="24"/>
        </w:rPr>
        <w:t>The</w:t>
      </w:r>
      <w:r w:rsidR="003808D3" w:rsidRPr="005A65D5">
        <w:rPr>
          <w:rFonts w:cs="Arial"/>
          <w:color w:val="000000"/>
          <w:szCs w:val="24"/>
        </w:rPr>
        <w:t xml:space="preserve"> County Council</w:t>
      </w:r>
      <w:r w:rsidR="00437A66" w:rsidRPr="005A65D5">
        <w:rPr>
          <w:rFonts w:cs="Arial"/>
          <w:color w:val="000000"/>
          <w:szCs w:val="24"/>
        </w:rPr>
        <w:t xml:space="preserve">'s </w:t>
      </w:r>
      <w:r w:rsidR="003808D3" w:rsidRPr="005A65D5">
        <w:rPr>
          <w:rFonts w:cs="Arial"/>
          <w:color w:val="000000"/>
          <w:szCs w:val="24"/>
        </w:rPr>
        <w:t xml:space="preserve">approach </w:t>
      </w:r>
      <w:r w:rsidR="00437A66" w:rsidRPr="005A65D5">
        <w:rPr>
          <w:rFonts w:cs="Arial"/>
          <w:color w:val="000000"/>
          <w:szCs w:val="24"/>
        </w:rPr>
        <w:t xml:space="preserve">is </w:t>
      </w:r>
      <w:r w:rsidR="009E6B90">
        <w:rPr>
          <w:rFonts w:cs="Arial"/>
          <w:color w:val="000000"/>
          <w:szCs w:val="24"/>
        </w:rPr>
        <w:t xml:space="preserve">driven by a </w:t>
      </w:r>
      <w:r w:rsidR="00035C87">
        <w:rPr>
          <w:rFonts w:cs="Arial"/>
          <w:color w:val="000000"/>
          <w:szCs w:val="24"/>
        </w:rPr>
        <w:t xml:space="preserve">formal </w:t>
      </w:r>
      <w:r w:rsidR="009E6B90">
        <w:rPr>
          <w:rFonts w:cs="Arial"/>
          <w:color w:val="000000"/>
          <w:szCs w:val="24"/>
        </w:rPr>
        <w:t>requirement to</w:t>
      </w:r>
      <w:r w:rsidRPr="005A65D5">
        <w:rPr>
          <w:rFonts w:cs="Arial"/>
          <w:color w:val="000000"/>
          <w:szCs w:val="24"/>
        </w:rPr>
        <w:t xml:space="preserve"> deli</w:t>
      </w:r>
      <w:r w:rsidR="006D004E" w:rsidRPr="005A65D5">
        <w:rPr>
          <w:rFonts w:cs="Arial"/>
          <w:color w:val="000000"/>
          <w:szCs w:val="24"/>
        </w:rPr>
        <w:t>ver a balanced budget in 201</w:t>
      </w:r>
      <w:r w:rsidR="004C63E1" w:rsidRPr="005A65D5">
        <w:rPr>
          <w:rFonts w:cs="Arial"/>
          <w:color w:val="000000"/>
          <w:szCs w:val="24"/>
        </w:rPr>
        <w:t>6</w:t>
      </w:r>
      <w:r w:rsidR="006D004E" w:rsidRPr="005A65D5">
        <w:rPr>
          <w:rFonts w:cs="Arial"/>
          <w:color w:val="000000"/>
          <w:szCs w:val="24"/>
        </w:rPr>
        <w:t>/1</w:t>
      </w:r>
      <w:r w:rsidR="004C63E1" w:rsidRPr="005A65D5">
        <w:rPr>
          <w:rFonts w:cs="Arial"/>
          <w:color w:val="000000"/>
          <w:szCs w:val="24"/>
        </w:rPr>
        <w:t>7</w:t>
      </w:r>
      <w:r w:rsidR="009E6B90">
        <w:rPr>
          <w:rFonts w:cs="Arial"/>
          <w:color w:val="000000"/>
          <w:szCs w:val="24"/>
        </w:rPr>
        <w:t>. This needs to be undertaken whilst recognising</w:t>
      </w:r>
      <w:r w:rsidRPr="005A65D5">
        <w:rPr>
          <w:rFonts w:cs="Arial"/>
          <w:color w:val="000000"/>
          <w:szCs w:val="24"/>
        </w:rPr>
        <w:t xml:space="preserve"> </w:t>
      </w:r>
      <w:r w:rsidR="004C63E1" w:rsidRPr="005A65D5">
        <w:rPr>
          <w:rFonts w:cs="Arial"/>
          <w:color w:val="000000"/>
          <w:szCs w:val="24"/>
        </w:rPr>
        <w:t xml:space="preserve">the position for </w:t>
      </w:r>
      <w:r w:rsidR="00AF1CEB" w:rsidRPr="005A65D5">
        <w:rPr>
          <w:rFonts w:cs="Arial"/>
          <w:color w:val="000000"/>
          <w:szCs w:val="24"/>
        </w:rPr>
        <w:t>future</w:t>
      </w:r>
      <w:r w:rsidR="004C63E1" w:rsidRPr="005A65D5">
        <w:rPr>
          <w:rFonts w:cs="Arial"/>
          <w:color w:val="000000"/>
          <w:szCs w:val="24"/>
        </w:rPr>
        <w:t xml:space="preserve"> </w:t>
      </w:r>
      <w:r w:rsidR="00C86DAA" w:rsidRPr="005A65D5">
        <w:rPr>
          <w:rFonts w:cs="Arial"/>
          <w:color w:val="000000"/>
          <w:szCs w:val="24"/>
        </w:rPr>
        <w:t>y</w:t>
      </w:r>
      <w:r w:rsidR="006D004E" w:rsidRPr="005A65D5">
        <w:rPr>
          <w:rFonts w:cs="Arial"/>
          <w:color w:val="000000"/>
          <w:szCs w:val="24"/>
        </w:rPr>
        <w:t>ears</w:t>
      </w:r>
      <w:r w:rsidR="003808D3" w:rsidRPr="005A65D5">
        <w:rPr>
          <w:rFonts w:cs="Arial"/>
          <w:color w:val="000000"/>
          <w:szCs w:val="24"/>
        </w:rPr>
        <w:t>.</w:t>
      </w:r>
      <w:r w:rsidR="008736A8">
        <w:rPr>
          <w:rFonts w:cs="Arial"/>
          <w:color w:val="000000"/>
          <w:szCs w:val="24"/>
        </w:rPr>
        <w:t xml:space="preserve"> </w:t>
      </w:r>
      <w:r w:rsidR="003808D3" w:rsidRPr="005A65D5">
        <w:rPr>
          <w:rFonts w:cs="Arial"/>
          <w:color w:val="000000"/>
          <w:szCs w:val="24"/>
        </w:rPr>
        <w:t>The Cabine</w:t>
      </w:r>
      <w:r w:rsidRPr="005A65D5">
        <w:rPr>
          <w:rFonts w:cs="Arial"/>
          <w:color w:val="000000"/>
          <w:szCs w:val="24"/>
        </w:rPr>
        <w:t xml:space="preserve">t has considered </w:t>
      </w:r>
      <w:r w:rsidR="00035C87">
        <w:rPr>
          <w:rFonts w:cs="Arial"/>
          <w:color w:val="000000"/>
          <w:szCs w:val="24"/>
        </w:rPr>
        <w:t>t</w:t>
      </w:r>
      <w:r w:rsidRPr="005A65D5">
        <w:rPr>
          <w:rFonts w:cs="Arial"/>
          <w:color w:val="000000"/>
          <w:szCs w:val="24"/>
        </w:rPr>
        <w:t xml:space="preserve">he </w:t>
      </w:r>
      <w:r w:rsidR="00035C87">
        <w:rPr>
          <w:rFonts w:cs="Arial"/>
          <w:color w:val="000000"/>
          <w:szCs w:val="24"/>
        </w:rPr>
        <w:t xml:space="preserve">budget for </w:t>
      </w:r>
      <w:r w:rsidR="009A7115" w:rsidRPr="005A65D5">
        <w:rPr>
          <w:rFonts w:cs="Arial"/>
          <w:color w:val="000000"/>
          <w:szCs w:val="24"/>
        </w:rPr>
        <w:t>201</w:t>
      </w:r>
      <w:r w:rsidR="004C63E1" w:rsidRPr="005A65D5">
        <w:rPr>
          <w:rFonts w:cs="Arial"/>
          <w:color w:val="000000"/>
          <w:szCs w:val="24"/>
        </w:rPr>
        <w:t>6</w:t>
      </w:r>
      <w:r w:rsidR="006D004E" w:rsidRPr="005A65D5">
        <w:rPr>
          <w:rFonts w:cs="Arial"/>
          <w:color w:val="000000"/>
          <w:szCs w:val="24"/>
        </w:rPr>
        <w:t>/1</w:t>
      </w:r>
      <w:r w:rsidR="004C63E1" w:rsidRPr="005A65D5">
        <w:rPr>
          <w:rFonts w:cs="Arial"/>
          <w:color w:val="000000"/>
          <w:szCs w:val="24"/>
        </w:rPr>
        <w:t>7</w:t>
      </w:r>
      <w:r w:rsidR="009A7115" w:rsidRPr="005A65D5">
        <w:rPr>
          <w:rFonts w:cs="Arial"/>
          <w:color w:val="000000"/>
          <w:szCs w:val="24"/>
        </w:rPr>
        <w:t xml:space="preserve"> </w:t>
      </w:r>
      <w:r w:rsidR="006D004E" w:rsidRPr="005A65D5">
        <w:rPr>
          <w:rFonts w:cs="Arial"/>
          <w:color w:val="000000"/>
          <w:szCs w:val="24"/>
        </w:rPr>
        <w:t xml:space="preserve">and future years </w:t>
      </w:r>
      <w:r w:rsidR="003808D3" w:rsidRPr="005A65D5">
        <w:rPr>
          <w:rFonts w:cs="Arial"/>
          <w:color w:val="000000"/>
          <w:szCs w:val="24"/>
        </w:rPr>
        <w:t>at a number of its meetings</w:t>
      </w:r>
      <w:r w:rsidR="00035C87">
        <w:rPr>
          <w:rFonts w:cs="Arial"/>
          <w:color w:val="000000"/>
          <w:szCs w:val="24"/>
        </w:rPr>
        <w:t>. T</w:t>
      </w:r>
      <w:r w:rsidR="003808D3" w:rsidRPr="005A65D5">
        <w:rPr>
          <w:rFonts w:cs="Arial"/>
          <w:color w:val="000000"/>
          <w:szCs w:val="24"/>
        </w:rPr>
        <w:t>he reports considered can be found</w:t>
      </w:r>
      <w:r w:rsidR="009E5B30" w:rsidRPr="005A65D5">
        <w:rPr>
          <w:rFonts w:cs="Arial"/>
          <w:color w:val="000000"/>
          <w:szCs w:val="24"/>
        </w:rPr>
        <w:t xml:space="preserve"> </w:t>
      </w:r>
      <w:r w:rsidR="003808D3" w:rsidRPr="005A65D5">
        <w:rPr>
          <w:rFonts w:cs="Arial"/>
          <w:color w:val="000000"/>
          <w:szCs w:val="24"/>
        </w:rPr>
        <w:t>at:</w:t>
      </w:r>
    </w:p>
    <w:p w:rsidR="009E5B30" w:rsidRPr="005A65D5" w:rsidRDefault="009E5B30" w:rsidP="004321DB">
      <w:pPr>
        <w:autoSpaceDE w:val="0"/>
        <w:autoSpaceDN w:val="0"/>
        <w:adjustRightInd w:val="0"/>
        <w:spacing w:after="0"/>
        <w:jc w:val="both"/>
        <w:rPr>
          <w:rFonts w:cs="Arial"/>
          <w:color w:val="0000FF"/>
          <w:szCs w:val="24"/>
        </w:rPr>
      </w:pPr>
    </w:p>
    <w:p w:rsidR="00D95E0B" w:rsidRPr="005A65D5" w:rsidRDefault="00A2745D" w:rsidP="004321DB">
      <w:pPr>
        <w:spacing w:after="0"/>
        <w:jc w:val="both"/>
        <w:rPr>
          <w:rFonts w:cs="Arial"/>
          <w:szCs w:val="24"/>
        </w:rPr>
      </w:pPr>
      <w:hyperlink r:id="rId8" w:history="1">
        <w:r w:rsidR="009E5B30" w:rsidRPr="005A65D5">
          <w:rPr>
            <w:rStyle w:val="Hyperlink"/>
            <w:rFonts w:cs="Arial"/>
            <w:szCs w:val="24"/>
          </w:rPr>
          <w:t>http://council.lancashire.gov.uk/ieListMeetings.aspx?CommitteeId=122</w:t>
        </w:r>
      </w:hyperlink>
      <w:r w:rsidR="009E5B30" w:rsidRPr="005A65D5">
        <w:rPr>
          <w:rFonts w:cs="Arial"/>
          <w:szCs w:val="24"/>
        </w:rPr>
        <w:t xml:space="preserve"> </w:t>
      </w:r>
    </w:p>
    <w:p w:rsidR="008344C8" w:rsidRPr="005A65D5" w:rsidRDefault="008344C8" w:rsidP="004321DB">
      <w:pPr>
        <w:pStyle w:val="ListParagraph"/>
        <w:spacing w:after="0"/>
        <w:ind w:left="567"/>
        <w:jc w:val="both"/>
        <w:rPr>
          <w:rFonts w:cs="Arial"/>
          <w:b/>
          <w:szCs w:val="24"/>
        </w:rPr>
      </w:pPr>
    </w:p>
    <w:p w:rsidR="009E5B30" w:rsidRDefault="005A65D5" w:rsidP="004321DB">
      <w:pPr>
        <w:spacing w:after="0"/>
        <w:jc w:val="both"/>
        <w:rPr>
          <w:rFonts w:cs="Arial"/>
          <w:b/>
          <w:szCs w:val="24"/>
        </w:rPr>
      </w:pPr>
      <w:r>
        <w:rPr>
          <w:rFonts w:cs="Arial"/>
          <w:b/>
          <w:szCs w:val="24"/>
        </w:rPr>
        <w:t xml:space="preserve">3. </w:t>
      </w:r>
      <w:r w:rsidR="009E5B30" w:rsidRPr="005A65D5">
        <w:rPr>
          <w:rFonts w:cs="Arial"/>
          <w:b/>
          <w:szCs w:val="24"/>
        </w:rPr>
        <w:t>The</w:t>
      </w:r>
      <w:r w:rsidR="00DF5474" w:rsidRPr="005A65D5">
        <w:rPr>
          <w:rFonts w:cs="Arial"/>
          <w:b/>
          <w:szCs w:val="24"/>
        </w:rPr>
        <w:t xml:space="preserve"> Context for Setting the 201</w:t>
      </w:r>
      <w:r w:rsidR="00C86DAA" w:rsidRPr="005A65D5">
        <w:rPr>
          <w:rFonts w:cs="Arial"/>
          <w:b/>
          <w:szCs w:val="24"/>
        </w:rPr>
        <w:t>6</w:t>
      </w:r>
      <w:r w:rsidR="006D004E" w:rsidRPr="005A65D5">
        <w:rPr>
          <w:rFonts w:cs="Arial"/>
          <w:b/>
          <w:szCs w:val="24"/>
        </w:rPr>
        <w:t>/1</w:t>
      </w:r>
      <w:r w:rsidR="00C86DAA" w:rsidRPr="005A65D5">
        <w:rPr>
          <w:rFonts w:cs="Arial"/>
          <w:b/>
          <w:szCs w:val="24"/>
        </w:rPr>
        <w:t>7</w:t>
      </w:r>
      <w:r w:rsidR="009E5B30" w:rsidRPr="005A65D5">
        <w:rPr>
          <w:rFonts w:cs="Arial"/>
          <w:b/>
          <w:szCs w:val="24"/>
        </w:rPr>
        <w:t xml:space="preserve"> Budget</w:t>
      </w:r>
    </w:p>
    <w:p w:rsidR="005A65D5" w:rsidRPr="005A65D5" w:rsidRDefault="005A65D5" w:rsidP="004321DB">
      <w:pPr>
        <w:spacing w:after="0"/>
        <w:jc w:val="both"/>
        <w:rPr>
          <w:rFonts w:cs="Arial"/>
          <w:b/>
          <w:szCs w:val="24"/>
        </w:rPr>
      </w:pPr>
    </w:p>
    <w:p w:rsidR="009E5B30" w:rsidRDefault="009E5B30" w:rsidP="004321DB">
      <w:pPr>
        <w:spacing w:after="0"/>
        <w:jc w:val="both"/>
        <w:rPr>
          <w:rFonts w:cs="Arial"/>
          <w:szCs w:val="24"/>
        </w:rPr>
      </w:pPr>
      <w:r w:rsidRPr="005A65D5">
        <w:rPr>
          <w:rFonts w:cs="Arial"/>
          <w:szCs w:val="24"/>
        </w:rPr>
        <w:t xml:space="preserve">The Cabinet's </w:t>
      </w:r>
      <w:r w:rsidR="009A7115" w:rsidRPr="005A65D5">
        <w:rPr>
          <w:rFonts w:cs="Arial"/>
          <w:szCs w:val="24"/>
        </w:rPr>
        <w:t xml:space="preserve">recommendations </w:t>
      </w:r>
      <w:r w:rsidR="00DF5474" w:rsidRPr="005A65D5">
        <w:rPr>
          <w:rFonts w:cs="Arial"/>
          <w:szCs w:val="24"/>
        </w:rPr>
        <w:t>for the 201</w:t>
      </w:r>
      <w:r w:rsidR="00C86DAA" w:rsidRPr="005A65D5">
        <w:rPr>
          <w:rFonts w:cs="Arial"/>
          <w:szCs w:val="24"/>
        </w:rPr>
        <w:t>6</w:t>
      </w:r>
      <w:r w:rsidR="006D004E" w:rsidRPr="005A65D5">
        <w:rPr>
          <w:rFonts w:cs="Arial"/>
          <w:szCs w:val="24"/>
        </w:rPr>
        <w:t>/1</w:t>
      </w:r>
      <w:r w:rsidR="00C86DAA" w:rsidRPr="005A65D5">
        <w:rPr>
          <w:rFonts w:cs="Arial"/>
          <w:szCs w:val="24"/>
        </w:rPr>
        <w:t>7</w:t>
      </w:r>
      <w:r w:rsidRPr="005A65D5">
        <w:rPr>
          <w:rFonts w:cs="Arial"/>
          <w:szCs w:val="24"/>
        </w:rPr>
        <w:t xml:space="preserve"> revenue budget and capital investment programme are framed within the context of the on</w:t>
      </w:r>
      <w:r w:rsidR="000A6738" w:rsidRPr="005A65D5">
        <w:rPr>
          <w:rFonts w:cs="Arial"/>
          <w:szCs w:val="24"/>
        </w:rPr>
        <w:t>-</w:t>
      </w:r>
      <w:r w:rsidRPr="005A65D5">
        <w:rPr>
          <w:rFonts w:cs="Arial"/>
          <w:szCs w:val="24"/>
        </w:rPr>
        <w:t xml:space="preserve">going environment of austerity across the public sector. </w:t>
      </w:r>
    </w:p>
    <w:p w:rsidR="005A65D5" w:rsidRPr="005A65D5" w:rsidRDefault="005A65D5" w:rsidP="004321DB">
      <w:pPr>
        <w:spacing w:after="0"/>
        <w:jc w:val="both"/>
        <w:rPr>
          <w:rFonts w:cs="Arial"/>
          <w:szCs w:val="24"/>
        </w:rPr>
      </w:pPr>
    </w:p>
    <w:p w:rsidR="00756222" w:rsidRDefault="00B05B90" w:rsidP="004321DB">
      <w:pPr>
        <w:spacing w:after="0"/>
        <w:jc w:val="both"/>
        <w:rPr>
          <w:rFonts w:cs="Arial"/>
          <w:szCs w:val="24"/>
        </w:rPr>
      </w:pPr>
      <w:r w:rsidRPr="005A65D5">
        <w:rPr>
          <w:rFonts w:cs="Arial"/>
          <w:szCs w:val="24"/>
        </w:rPr>
        <w:t>T</w:t>
      </w:r>
      <w:r w:rsidR="008B4F8B" w:rsidRPr="005A65D5">
        <w:rPr>
          <w:rFonts w:cs="Arial"/>
          <w:szCs w:val="24"/>
        </w:rPr>
        <w:t>he challenge facing the County Council is unprecedented.</w:t>
      </w:r>
      <w:r w:rsidR="002261FE" w:rsidRPr="005A65D5">
        <w:rPr>
          <w:rFonts w:cs="Arial"/>
          <w:szCs w:val="24"/>
        </w:rPr>
        <w:t xml:space="preserve"> The current 201</w:t>
      </w:r>
      <w:r w:rsidR="00FC6721" w:rsidRPr="005A65D5">
        <w:rPr>
          <w:rFonts w:cs="Arial"/>
          <w:szCs w:val="24"/>
        </w:rPr>
        <w:t>6</w:t>
      </w:r>
      <w:r w:rsidR="002261FE" w:rsidRPr="005A65D5">
        <w:rPr>
          <w:rFonts w:cs="Arial"/>
          <w:szCs w:val="24"/>
        </w:rPr>
        <w:t>/1</w:t>
      </w:r>
      <w:r w:rsidR="00FC6721" w:rsidRPr="005A65D5">
        <w:rPr>
          <w:rFonts w:cs="Arial"/>
          <w:szCs w:val="24"/>
        </w:rPr>
        <w:t>7</w:t>
      </w:r>
      <w:r w:rsidR="002261FE" w:rsidRPr="005A65D5">
        <w:rPr>
          <w:rFonts w:cs="Arial"/>
          <w:szCs w:val="24"/>
        </w:rPr>
        <w:t xml:space="preserve"> budget includes £20</w:t>
      </w:r>
      <w:r w:rsidR="0043791F">
        <w:rPr>
          <w:rFonts w:cs="Arial"/>
          <w:szCs w:val="24"/>
        </w:rPr>
        <w:t>.252</w:t>
      </w:r>
      <w:r w:rsidR="002261FE" w:rsidRPr="005A65D5">
        <w:rPr>
          <w:rFonts w:cs="Arial"/>
          <w:szCs w:val="24"/>
        </w:rPr>
        <w:t>m of savings identified in February 2015 and</w:t>
      </w:r>
      <w:r w:rsidR="009F206C" w:rsidRPr="005A65D5">
        <w:rPr>
          <w:rFonts w:cs="Arial"/>
          <w:szCs w:val="24"/>
        </w:rPr>
        <w:t xml:space="preserve"> a further £64.864m identified by Cabinet</w:t>
      </w:r>
      <w:r w:rsidR="002261FE" w:rsidRPr="005A65D5">
        <w:rPr>
          <w:rFonts w:cs="Arial"/>
          <w:szCs w:val="24"/>
        </w:rPr>
        <w:t xml:space="preserve"> in</w:t>
      </w:r>
      <w:r w:rsidR="00C86DAA" w:rsidRPr="005A65D5">
        <w:rPr>
          <w:rFonts w:cs="Arial"/>
          <w:szCs w:val="24"/>
        </w:rPr>
        <w:t xml:space="preserve"> November 2015</w:t>
      </w:r>
      <w:r w:rsidR="00B54A96">
        <w:rPr>
          <w:rFonts w:cs="Arial"/>
          <w:szCs w:val="24"/>
        </w:rPr>
        <w:t xml:space="preserve"> which need to be met</w:t>
      </w:r>
      <w:r w:rsidR="00C86DAA" w:rsidRPr="005A65D5">
        <w:rPr>
          <w:rFonts w:cs="Arial"/>
          <w:szCs w:val="24"/>
        </w:rPr>
        <w:t xml:space="preserve">. </w:t>
      </w:r>
      <w:r w:rsidR="002261FE" w:rsidRPr="005A65D5">
        <w:rPr>
          <w:rFonts w:cs="Arial"/>
          <w:szCs w:val="24"/>
        </w:rPr>
        <w:t>Despite these reductions</w:t>
      </w:r>
      <w:r w:rsidR="0043791F">
        <w:rPr>
          <w:rFonts w:cs="Arial"/>
          <w:szCs w:val="24"/>
        </w:rPr>
        <w:t>, the last reported MTFS showed that</w:t>
      </w:r>
      <w:r w:rsidR="00FC6721" w:rsidRPr="005A65D5">
        <w:rPr>
          <w:rFonts w:cs="Arial"/>
          <w:szCs w:val="24"/>
        </w:rPr>
        <w:t xml:space="preserve"> there is still a funding gap of £23.257m in 2016/17</w:t>
      </w:r>
      <w:r w:rsidR="00B54A96">
        <w:rPr>
          <w:rFonts w:cs="Arial"/>
          <w:szCs w:val="24"/>
        </w:rPr>
        <w:t>. O</w:t>
      </w:r>
      <w:r w:rsidRPr="005A65D5">
        <w:rPr>
          <w:rFonts w:cs="Arial"/>
          <w:szCs w:val="24"/>
        </w:rPr>
        <w:t>ver the period 201</w:t>
      </w:r>
      <w:r w:rsidR="00C86DAA" w:rsidRPr="005A65D5">
        <w:rPr>
          <w:rFonts w:cs="Arial"/>
          <w:szCs w:val="24"/>
        </w:rPr>
        <w:t>6</w:t>
      </w:r>
      <w:r w:rsidRPr="005A65D5">
        <w:rPr>
          <w:rFonts w:cs="Arial"/>
          <w:szCs w:val="24"/>
        </w:rPr>
        <w:t>/1</w:t>
      </w:r>
      <w:r w:rsidR="00C86DAA" w:rsidRPr="005A65D5">
        <w:rPr>
          <w:rFonts w:cs="Arial"/>
          <w:szCs w:val="24"/>
        </w:rPr>
        <w:t>7</w:t>
      </w:r>
      <w:r w:rsidRPr="005A65D5">
        <w:rPr>
          <w:rFonts w:cs="Arial"/>
          <w:szCs w:val="24"/>
        </w:rPr>
        <w:t xml:space="preserve"> to 20</w:t>
      </w:r>
      <w:r w:rsidR="00C86DAA" w:rsidRPr="005A65D5">
        <w:rPr>
          <w:rFonts w:cs="Arial"/>
          <w:szCs w:val="24"/>
        </w:rPr>
        <w:t>20</w:t>
      </w:r>
      <w:r w:rsidRPr="005A65D5">
        <w:rPr>
          <w:rFonts w:cs="Arial"/>
          <w:szCs w:val="24"/>
        </w:rPr>
        <w:t>/</w:t>
      </w:r>
      <w:r w:rsidR="00C86DAA" w:rsidRPr="005A65D5">
        <w:rPr>
          <w:rFonts w:cs="Arial"/>
          <w:szCs w:val="24"/>
        </w:rPr>
        <w:t>21</w:t>
      </w:r>
      <w:r w:rsidRPr="005A65D5">
        <w:rPr>
          <w:rFonts w:cs="Arial"/>
          <w:szCs w:val="24"/>
        </w:rPr>
        <w:t xml:space="preserve"> </w:t>
      </w:r>
      <w:r w:rsidR="009F206C" w:rsidRPr="005A65D5">
        <w:rPr>
          <w:rFonts w:cs="Arial"/>
          <w:szCs w:val="24"/>
        </w:rPr>
        <w:t xml:space="preserve">it is estimated that </w:t>
      </w:r>
      <w:r w:rsidRPr="005A65D5">
        <w:rPr>
          <w:rFonts w:cs="Arial"/>
          <w:szCs w:val="24"/>
        </w:rPr>
        <w:t xml:space="preserve">the </w:t>
      </w:r>
      <w:r w:rsidR="009B6685">
        <w:rPr>
          <w:rFonts w:cs="Arial"/>
          <w:szCs w:val="24"/>
        </w:rPr>
        <w:t xml:space="preserve">County </w:t>
      </w:r>
      <w:r w:rsidRPr="005A65D5">
        <w:rPr>
          <w:rFonts w:cs="Arial"/>
          <w:szCs w:val="24"/>
        </w:rPr>
        <w:t>Council needs to make further savings of £</w:t>
      </w:r>
      <w:r w:rsidR="00C86DAA" w:rsidRPr="005A65D5">
        <w:rPr>
          <w:rFonts w:cs="Arial"/>
          <w:szCs w:val="24"/>
        </w:rPr>
        <w:t>200</w:t>
      </w:r>
      <w:r w:rsidR="0043791F">
        <w:rPr>
          <w:rFonts w:cs="Arial"/>
          <w:szCs w:val="24"/>
        </w:rPr>
        <w:t>.507</w:t>
      </w:r>
      <w:r w:rsidR="00C86DAA" w:rsidRPr="005A65D5">
        <w:rPr>
          <w:rFonts w:cs="Arial"/>
          <w:szCs w:val="24"/>
        </w:rPr>
        <w:t>m.</w:t>
      </w:r>
      <w:r w:rsidR="002261FE" w:rsidRPr="005A65D5">
        <w:rPr>
          <w:rFonts w:cs="Arial"/>
          <w:szCs w:val="24"/>
        </w:rPr>
        <w:t xml:space="preserve"> </w:t>
      </w:r>
      <w:r w:rsidR="00C81680" w:rsidRPr="005A65D5">
        <w:rPr>
          <w:rFonts w:cs="Arial"/>
          <w:szCs w:val="24"/>
        </w:rPr>
        <w:t xml:space="preserve"> </w:t>
      </w:r>
      <w:r w:rsidR="008B4F8B" w:rsidRPr="005A65D5">
        <w:rPr>
          <w:rFonts w:cs="Arial"/>
          <w:szCs w:val="24"/>
        </w:rPr>
        <w:t xml:space="preserve">Delivering this level of saving whilst seeking to deliver effective services for our communities cannot be achieved without a radically different approach which focuses on service delivery within a </w:t>
      </w:r>
      <w:r w:rsidR="00756222" w:rsidRPr="005A65D5">
        <w:rPr>
          <w:rFonts w:cs="Arial"/>
          <w:szCs w:val="24"/>
        </w:rPr>
        <w:t xml:space="preserve">reducing </w:t>
      </w:r>
      <w:r w:rsidR="008B4F8B" w:rsidRPr="005A65D5">
        <w:rPr>
          <w:rFonts w:cs="Arial"/>
          <w:szCs w:val="24"/>
        </w:rPr>
        <w:t>budget envelope</w:t>
      </w:r>
      <w:r w:rsidR="00756222" w:rsidRPr="005A65D5">
        <w:rPr>
          <w:rFonts w:cs="Arial"/>
          <w:szCs w:val="24"/>
        </w:rPr>
        <w:t>.</w:t>
      </w:r>
    </w:p>
    <w:p w:rsidR="005A65D5" w:rsidRPr="005A65D5" w:rsidRDefault="005A65D5" w:rsidP="004321DB">
      <w:pPr>
        <w:spacing w:after="0"/>
        <w:jc w:val="both"/>
        <w:rPr>
          <w:rFonts w:cs="Arial"/>
          <w:szCs w:val="24"/>
        </w:rPr>
      </w:pPr>
    </w:p>
    <w:p w:rsidR="007B35C1" w:rsidRDefault="007B35C1" w:rsidP="004321DB">
      <w:pPr>
        <w:spacing w:after="0"/>
        <w:jc w:val="both"/>
        <w:rPr>
          <w:rFonts w:cs="Arial"/>
          <w:szCs w:val="24"/>
        </w:rPr>
      </w:pPr>
      <w:r w:rsidRPr="005A65D5">
        <w:rPr>
          <w:rFonts w:cs="Arial"/>
          <w:szCs w:val="24"/>
        </w:rPr>
        <w:t xml:space="preserve">The pressures identified for this </w:t>
      </w:r>
      <w:r w:rsidR="00172784" w:rsidRPr="005A65D5">
        <w:rPr>
          <w:rFonts w:cs="Arial"/>
          <w:szCs w:val="24"/>
        </w:rPr>
        <w:t>period reflect the</w:t>
      </w:r>
      <w:r w:rsidRPr="005A65D5">
        <w:rPr>
          <w:rFonts w:cs="Arial"/>
          <w:szCs w:val="24"/>
        </w:rPr>
        <w:t xml:space="preserve"> continuing increase in demand for</w:t>
      </w:r>
      <w:r w:rsidR="00172784" w:rsidRPr="005A65D5">
        <w:rPr>
          <w:rFonts w:cs="Arial"/>
          <w:szCs w:val="24"/>
        </w:rPr>
        <w:t xml:space="preserve"> </w:t>
      </w:r>
      <w:r w:rsidRPr="005A65D5">
        <w:rPr>
          <w:rFonts w:cs="Arial"/>
          <w:szCs w:val="24"/>
        </w:rPr>
        <w:t>council services, in particular those services delivering</w:t>
      </w:r>
      <w:r w:rsidR="00172784" w:rsidRPr="005A65D5">
        <w:rPr>
          <w:rFonts w:cs="Arial"/>
          <w:szCs w:val="24"/>
        </w:rPr>
        <w:t xml:space="preserve"> </w:t>
      </w:r>
      <w:r w:rsidRPr="005A65D5">
        <w:rPr>
          <w:rFonts w:cs="Arial"/>
          <w:szCs w:val="24"/>
        </w:rPr>
        <w:t>social care to both older people and children</w:t>
      </w:r>
      <w:r w:rsidR="00172784" w:rsidRPr="005A65D5">
        <w:rPr>
          <w:rFonts w:cs="Arial"/>
          <w:szCs w:val="24"/>
        </w:rPr>
        <w:t xml:space="preserve"> as well as increases in contract</w:t>
      </w:r>
      <w:r w:rsidR="00B54A96">
        <w:rPr>
          <w:rFonts w:cs="Arial"/>
          <w:szCs w:val="24"/>
        </w:rPr>
        <w:t>ual</w:t>
      </w:r>
      <w:r w:rsidR="00172784" w:rsidRPr="005A65D5">
        <w:rPr>
          <w:rFonts w:cs="Arial"/>
          <w:szCs w:val="24"/>
        </w:rPr>
        <w:t xml:space="preserve"> prices, p</w:t>
      </w:r>
      <w:r w:rsidR="00B54A96">
        <w:rPr>
          <w:rFonts w:cs="Arial"/>
          <w:szCs w:val="24"/>
        </w:rPr>
        <w:t>ay and the impact of the National Living Wage.</w:t>
      </w:r>
    </w:p>
    <w:p w:rsidR="005A65D5" w:rsidRPr="005A65D5" w:rsidRDefault="005A65D5" w:rsidP="004321DB">
      <w:pPr>
        <w:spacing w:after="0"/>
        <w:jc w:val="both"/>
        <w:rPr>
          <w:rFonts w:cs="Arial"/>
          <w:szCs w:val="24"/>
        </w:rPr>
      </w:pPr>
    </w:p>
    <w:p w:rsidR="00C81680" w:rsidRDefault="000A6738" w:rsidP="004321DB">
      <w:pPr>
        <w:spacing w:after="0"/>
        <w:jc w:val="both"/>
        <w:rPr>
          <w:rFonts w:cs="Arial"/>
          <w:szCs w:val="24"/>
        </w:rPr>
      </w:pPr>
      <w:r w:rsidRPr="005A65D5">
        <w:rPr>
          <w:rFonts w:cs="Arial"/>
          <w:szCs w:val="24"/>
        </w:rPr>
        <w:t xml:space="preserve">The </w:t>
      </w:r>
      <w:r w:rsidR="009B6685">
        <w:rPr>
          <w:rFonts w:cs="Arial"/>
          <w:szCs w:val="24"/>
        </w:rPr>
        <w:t xml:space="preserve">County </w:t>
      </w:r>
      <w:r w:rsidR="00E72046" w:rsidRPr="005A65D5">
        <w:rPr>
          <w:rFonts w:cs="Arial"/>
          <w:szCs w:val="24"/>
        </w:rPr>
        <w:t xml:space="preserve">Council's </w:t>
      </w:r>
      <w:r w:rsidRPr="005A65D5">
        <w:rPr>
          <w:rFonts w:cs="Arial"/>
          <w:szCs w:val="24"/>
        </w:rPr>
        <w:t xml:space="preserve">reduction in </w:t>
      </w:r>
      <w:r w:rsidR="00E72046" w:rsidRPr="005A65D5">
        <w:rPr>
          <w:rFonts w:cs="Arial"/>
          <w:szCs w:val="24"/>
        </w:rPr>
        <w:t xml:space="preserve">government funding </w:t>
      </w:r>
      <w:r w:rsidRPr="005A65D5">
        <w:rPr>
          <w:rFonts w:cs="Arial"/>
          <w:szCs w:val="24"/>
        </w:rPr>
        <w:t>has</w:t>
      </w:r>
      <w:r w:rsidR="002261FE" w:rsidRPr="005A65D5">
        <w:rPr>
          <w:rFonts w:cs="Arial"/>
          <w:szCs w:val="24"/>
        </w:rPr>
        <w:t xml:space="preserve"> yet to be </w:t>
      </w:r>
      <w:r w:rsidR="007B35C1" w:rsidRPr="005A65D5">
        <w:rPr>
          <w:rFonts w:cs="Arial"/>
          <w:szCs w:val="24"/>
        </w:rPr>
        <w:t>confirmed for 201</w:t>
      </w:r>
      <w:r w:rsidR="002261FE" w:rsidRPr="005A65D5">
        <w:rPr>
          <w:rFonts w:cs="Arial"/>
          <w:szCs w:val="24"/>
        </w:rPr>
        <w:t>6</w:t>
      </w:r>
      <w:r w:rsidR="00F20867" w:rsidRPr="005A65D5">
        <w:rPr>
          <w:rFonts w:cs="Arial"/>
          <w:szCs w:val="24"/>
        </w:rPr>
        <w:t>/1</w:t>
      </w:r>
      <w:r w:rsidR="002261FE" w:rsidRPr="005A65D5">
        <w:rPr>
          <w:rFonts w:cs="Arial"/>
          <w:szCs w:val="24"/>
        </w:rPr>
        <w:t>7 with the final</w:t>
      </w:r>
      <w:r w:rsidR="007B35C1" w:rsidRPr="005A65D5">
        <w:rPr>
          <w:rFonts w:cs="Arial"/>
          <w:szCs w:val="24"/>
        </w:rPr>
        <w:t xml:space="preserve"> local government f</w:t>
      </w:r>
      <w:r w:rsidR="00F20867" w:rsidRPr="005A65D5">
        <w:rPr>
          <w:rFonts w:cs="Arial"/>
          <w:szCs w:val="24"/>
        </w:rPr>
        <w:t xml:space="preserve">inance settlement </w:t>
      </w:r>
      <w:r w:rsidR="00351D95">
        <w:rPr>
          <w:rFonts w:cs="Arial"/>
          <w:szCs w:val="24"/>
        </w:rPr>
        <w:t>expected</w:t>
      </w:r>
      <w:r w:rsidR="009B6685">
        <w:rPr>
          <w:rFonts w:cs="Arial"/>
          <w:szCs w:val="24"/>
        </w:rPr>
        <w:t xml:space="preserve"> to be announced during</w:t>
      </w:r>
      <w:r w:rsidR="00F20867" w:rsidRPr="005A65D5">
        <w:rPr>
          <w:rFonts w:cs="Arial"/>
          <w:szCs w:val="24"/>
        </w:rPr>
        <w:t xml:space="preserve"> February 201</w:t>
      </w:r>
      <w:r w:rsidR="002261FE" w:rsidRPr="005A65D5">
        <w:rPr>
          <w:rFonts w:cs="Arial"/>
          <w:szCs w:val="24"/>
        </w:rPr>
        <w:t>6</w:t>
      </w:r>
      <w:r w:rsidR="007B35C1" w:rsidRPr="005A65D5">
        <w:rPr>
          <w:rFonts w:cs="Arial"/>
          <w:szCs w:val="24"/>
        </w:rPr>
        <w:t>.</w:t>
      </w:r>
      <w:r w:rsidR="00756222" w:rsidRPr="005A65D5">
        <w:rPr>
          <w:rFonts w:cs="Arial"/>
          <w:szCs w:val="24"/>
        </w:rPr>
        <w:t xml:space="preserve"> </w:t>
      </w:r>
      <w:r w:rsidR="009F206C" w:rsidRPr="005A65D5">
        <w:rPr>
          <w:rFonts w:cs="Arial"/>
          <w:szCs w:val="24"/>
        </w:rPr>
        <w:t xml:space="preserve">However, the provisional settlement has indicated significant reductions in 2016/17 and it is not anticipated that there will be </w:t>
      </w:r>
      <w:r w:rsidR="00B54A96">
        <w:rPr>
          <w:rFonts w:cs="Arial"/>
          <w:szCs w:val="24"/>
        </w:rPr>
        <w:t xml:space="preserve">a major </w:t>
      </w:r>
      <w:r w:rsidR="009F206C" w:rsidRPr="005A65D5">
        <w:rPr>
          <w:rFonts w:cs="Arial"/>
          <w:szCs w:val="24"/>
        </w:rPr>
        <w:t>change</w:t>
      </w:r>
      <w:r w:rsidR="00B54A96">
        <w:rPr>
          <w:rFonts w:cs="Arial"/>
          <w:szCs w:val="24"/>
        </w:rPr>
        <w:t xml:space="preserve"> in the final announcement</w:t>
      </w:r>
      <w:r w:rsidR="009F206C" w:rsidRPr="005A65D5">
        <w:rPr>
          <w:rFonts w:cs="Arial"/>
          <w:szCs w:val="24"/>
        </w:rPr>
        <w:t>.</w:t>
      </w:r>
      <w:r w:rsidR="005A65D5">
        <w:rPr>
          <w:rFonts w:cs="Arial"/>
          <w:szCs w:val="24"/>
        </w:rPr>
        <w:t xml:space="preserve"> </w:t>
      </w:r>
      <w:r w:rsidR="009F206C" w:rsidRPr="005A65D5">
        <w:rPr>
          <w:rFonts w:cs="Arial"/>
          <w:szCs w:val="24"/>
        </w:rPr>
        <w:t xml:space="preserve">The provisional settlement </w:t>
      </w:r>
      <w:r w:rsidR="00B54A96">
        <w:rPr>
          <w:rFonts w:cs="Arial"/>
          <w:szCs w:val="24"/>
        </w:rPr>
        <w:t>gives</w:t>
      </w:r>
      <w:r w:rsidR="009F206C" w:rsidRPr="005A65D5">
        <w:rPr>
          <w:rFonts w:cs="Arial"/>
          <w:szCs w:val="24"/>
        </w:rPr>
        <w:t xml:space="preserve"> indicative figures for future years and </w:t>
      </w:r>
      <w:r w:rsidR="005A65D5">
        <w:rPr>
          <w:rFonts w:cs="Arial"/>
          <w:szCs w:val="24"/>
        </w:rPr>
        <w:t>i</w:t>
      </w:r>
      <w:r w:rsidR="00756222" w:rsidRPr="005A65D5">
        <w:rPr>
          <w:rFonts w:cs="Arial"/>
          <w:szCs w:val="24"/>
        </w:rPr>
        <w:t xml:space="preserve">t is clear </w:t>
      </w:r>
      <w:r w:rsidR="009E6B90">
        <w:rPr>
          <w:rFonts w:cs="Arial"/>
          <w:szCs w:val="24"/>
        </w:rPr>
        <w:t xml:space="preserve">that </w:t>
      </w:r>
      <w:r w:rsidR="00756222" w:rsidRPr="005A65D5">
        <w:rPr>
          <w:rFonts w:cs="Arial"/>
          <w:szCs w:val="24"/>
        </w:rPr>
        <w:t>austerity will continue</w:t>
      </w:r>
      <w:r w:rsidR="009F206C" w:rsidRPr="005A65D5">
        <w:rPr>
          <w:rFonts w:cs="Arial"/>
          <w:szCs w:val="24"/>
        </w:rPr>
        <w:t>.</w:t>
      </w:r>
      <w:r w:rsidR="005A65D5">
        <w:rPr>
          <w:rFonts w:cs="Arial"/>
          <w:szCs w:val="24"/>
        </w:rPr>
        <w:t xml:space="preserve"> T</w:t>
      </w:r>
      <w:r w:rsidR="00756222" w:rsidRPr="005A65D5">
        <w:rPr>
          <w:rFonts w:cs="Arial"/>
          <w:szCs w:val="24"/>
        </w:rPr>
        <w:t xml:space="preserve">he </w:t>
      </w:r>
      <w:r w:rsidR="007B35C1" w:rsidRPr="005A65D5">
        <w:rPr>
          <w:rFonts w:cs="Arial"/>
          <w:szCs w:val="24"/>
        </w:rPr>
        <w:t>forecast of reso</w:t>
      </w:r>
      <w:r w:rsidRPr="005A65D5">
        <w:rPr>
          <w:rFonts w:cs="Arial"/>
          <w:szCs w:val="24"/>
        </w:rPr>
        <w:t>urce</w:t>
      </w:r>
      <w:r w:rsidR="00756222" w:rsidRPr="005A65D5">
        <w:rPr>
          <w:rFonts w:cs="Arial"/>
          <w:szCs w:val="24"/>
        </w:rPr>
        <w:t>s</w:t>
      </w:r>
      <w:r w:rsidRPr="005A65D5">
        <w:rPr>
          <w:rFonts w:cs="Arial"/>
          <w:szCs w:val="24"/>
        </w:rPr>
        <w:t xml:space="preserve"> for 201</w:t>
      </w:r>
      <w:r w:rsidR="002261FE" w:rsidRPr="005A65D5">
        <w:rPr>
          <w:rFonts w:cs="Arial"/>
          <w:szCs w:val="24"/>
        </w:rPr>
        <w:t>7</w:t>
      </w:r>
      <w:r w:rsidRPr="005A65D5">
        <w:rPr>
          <w:rFonts w:cs="Arial"/>
          <w:szCs w:val="24"/>
        </w:rPr>
        <w:t>/1</w:t>
      </w:r>
      <w:r w:rsidR="002261FE" w:rsidRPr="005A65D5">
        <w:rPr>
          <w:rFonts w:cs="Arial"/>
          <w:szCs w:val="24"/>
        </w:rPr>
        <w:t>8</w:t>
      </w:r>
      <w:r w:rsidRPr="005A65D5">
        <w:rPr>
          <w:rFonts w:cs="Arial"/>
          <w:szCs w:val="24"/>
        </w:rPr>
        <w:t xml:space="preserve"> to 20</w:t>
      </w:r>
      <w:r w:rsidR="002261FE" w:rsidRPr="005A65D5">
        <w:rPr>
          <w:rFonts w:cs="Arial"/>
          <w:szCs w:val="24"/>
        </w:rPr>
        <w:t>20</w:t>
      </w:r>
      <w:r w:rsidRPr="005A65D5">
        <w:rPr>
          <w:rFonts w:cs="Arial"/>
          <w:szCs w:val="24"/>
        </w:rPr>
        <w:t>/</w:t>
      </w:r>
      <w:r w:rsidR="002261FE" w:rsidRPr="005A65D5">
        <w:rPr>
          <w:rFonts w:cs="Arial"/>
          <w:szCs w:val="24"/>
        </w:rPr>
        <w:t>21</w:t>
      </w:r>
      <w:r w:rsidRPr="005A65D5">
        <w:rPr>
          <w:rFonts w:cs="Arial"/>
          <w:szCs w:val="24"/>
        </w:rPr>
        <w:t xml:space="preserve"> </w:t>
      </w:r>
      <w:r w:rsidR="007B35C1" w:rsidRPr="005A65D5">
        <w:rPr>
          <w:rFonts w:cs="Arial"/>
          <w:szCs w:val="24"/>
        </w:rPr>
        <w:t>reflect</w:t>
      </w:r>
      <w:r w:rsidR="00756222" w:rsidRPr="005A65D5">
        <w:rPr>
          <w:rFonts w:cs="Arial"/>
          <w:szCs w:val="24"/>
        </w:rPr>
        <w:t>s</w:t>
      </w:r>
      <w:r w:rsidR="007B35C1" w:rsidRPr="005A65D5">
        <w:rPr>
          <w:rFonts w:cs="Arial"/>
          <w:szCs w:val="24"/>
        </w:rPr>
        <w:t xml:space="preserve"> the reduction</w:t>
      </w:r>
      <w:r w:rsidR="007F2C85" w:rsidRPr="005A65D5">
        <w:rPr>
          <w:rFonts w:cs="Arial"/>
          <w:szCs w:val="24"/>
        </w:rPr>
        <w:t>s</w:t>
      </w:r>
      <w:r w:rsidR="007B35C1" w:rsidRPr="005A65D5">
        <w:rPr>
          <w:rFonts w:cs="Arial"/>
          <w:szCs w:val="24"/>
        </w:rPr>
        <w:t xml:space="preserve"> </w:t>
      </w:r>
      <w:r w:rsidR="002261FE" w:rsidRPr="005A65D5">
        <w:rPr>
          <w:rFonts w:cs="Arial"/>
          <w:szCs w:val="24"/>
        </w:rPr>
        <w:t>indicated in the provisional settlement</w:t>
      </w:r>
      <w:r w:rsidR="007B35C1" w:rsidRPr="005A65D5">
        <w:rPr>
          <w:rFonts w:cs="Arial"/>
          <w:szCs w:val="24"/>
        </w:rPr>
        <w:t>.</w:t>
      </w:r>
      <w:r w:rsidR="00E72046" w:rsidRPr="005A65D5">
        <w:rPr>
          <w:rFonts w:cs="Arial"/>
          <w:szCs w:val="24"/>
        </w:rPr>
        <w:t xml:space="preserve"> However, t</w:t>
      </w:r>
      <w:r w:rsidR="002261FE" w:rsidRPr="005A65D5">
        <w:rPr>
          <w:rFonts w:cs="Arial"/>
          <w:szCs w:val="24"/>
        </w:rPr>
        <w:t>he level of future resources</w:t>
      </w:r>
      <w:r w:rsidR="00E72046" w:rsidRPr="005A65D5">
        <w:rPr>
          <w:rFonts w:cs="Arial"/>
          <w:szCs w:val="24"/>
        </w:rPr>
        <w:t xml:space="preserve"> </w:t>
      </w:r>
      <w:r w:rsidR="00B54A96">
        <w:rPr>
          <w:rFonts w:cs="Arial"/>
          <w:szCs w:val="24"/>
        </w:rPr>
        <w:t xml:space="preserve">is subject to </w:t>
      </w:r>
      <w:r w:rsidR="002261FE" w:rsidRPr="005A65D5">
        <w:rPr>
          <w:rFonts w:cs="Arial"/>
          <w:szCs w:val="24"/>
        </w:rPr>
        <w:t xml:space="preserve">change and therefore </w:t>
      </w:r>
      <w:r w:rsidR="006C35D4">
        <w:rPr>
          <w:rFonts w:cs="Arial"/>
          <w:szCs w:val="24"/>
        </w:rPr>
        <w:t xml:space="preserve">the level of funding </w:t>
      </w:r>
      <w:r w:rsidR="00E72046" w:rsidRPr="005A65D5">
        <w:rPr>
          <w:rFonts w:cs="Arial"/>
          <w:szCs w:val="24"/>
        </w:rPr>
        <w:t>remains a</w:t>
      </w:r>
      <w:r w:rsidR="00B54A96">
        <w:rPr>
          <w:rFonts w:cs="Arial"/>
          <w:szCs w:val="24"/>
        </w:rPr>
        <w:t>t</w:t>
      </w:r>
      <w:r w:rsidR="00E72046" w:rsidRPr="005A65D5">
        <w:rPr>
          <w:rFonts w:cs="Arial"/>
          <w:szCs w:val="24"/>
        </w:rPr>
        <w:t xml:space="preserve"> risk.</w:t>
      </w:r>
      <w:r w:rsidR="00272254" w:rsidRPr="005A65D5">
        <w:rPr>
          <w:rFonts w:cs="Arial"/>
          <w:szCs w:val="24"/>
        </w:rPr>
        <w:t xml:space="preserve"> </w:t>
      </w:r>
    </w:p>
    <w:p w:rsidR="006C35D4" w:rsidRPr="005A65D5" w:rsidRDefault="006C35D4" w:rsidP="004321DB">
      <w:pPr>
        <w:spacing w:after="0"/>
        <w:jc w:val="both"/>
        <w:rPr>
          <w:rFonts w:cs="Arial"/>
          <w:szCs w:val="24"/>
        </w:rPr>
      </w:pPr>
    </w:p>
    <w:p w:rsidR="00D40226" w:rsidRPr="005A65D5" w:rsidRDefault="006A2F32" w:rsidP="004321DB">
      <w:pPr>
        <w:spacing w:after="0"/>
        <w:jc w:val="both"/>
        <w:rPr>
          <w:rFonts w:cs="Arial"/>
          <w:szCs w:val="24"/>
        </w:rPr>
      </w:pPr>
      <w:r w:rsidRPr="005A65D5">
        <w:rPr>
          <w:rFonts w:cs="Arial"/>
          <w:szCs w:val="24"/>
        </w:rPr>
        <w:t xml:space="preserve">Reports will </w:t>
      </w:r>
      <w:r w:rsidR="00C81680" w:rsidRPr="005A65D5">
        <w:rPr>
          <w:rFonts w:cs="Arial"/>
          <w:szCs w:val="24"/>
        </w:rPr>
        <w:t>be provided to Cabinet in 201</w:t>
      </w:r>
      <w:r w:rsidR="00153BC0" w:rsidRPr="005A65D5">
        <w:rPr>
          <w:rFonts w:cs="Arial"/>
          <w:szCs w:val="24"/>
        </w:rPr>
        <w:t>6</w:t>
      </w:r>
      <w:r w:rsidR="00C81680" w:rsidRPr="005A65D5">
        <w:rPr>
          <w:rFonts w:cs="Arial"/>
          <w:szCs w:val="24"/>
        </w:rPr>
        <w:t>/1</w:t>
      </w:r>
      <w:r w:rsidR="00153BC0" w:rsidRPr="005A65D5">
        <w:rPr>
          <w:rFonts w:cs="Arial"/>
          <w:szCs w:val="24"/>
        </w:rPr>
        <w:t>7</w:t>
      </w:r>
      <w:r w:rsidR="00C81680" w:rsidRPr="005A65D5">
        <w:rPr>
          <w:rFonts w:cs="Arial"/>
          <w:szCs w:val="24"/>
        </w:rPr>
        <w:t xml:space="preserve"> to </w:t>
      </w:r>
      <w:r w:rsidRPr="005A65D5">
        <w:rPr>
          <w:rFonts w:cs="Arial"/>
          <w:szCs w:val="24"/>
        </w:rPr>
        <w:t>update the</w:t>
      </w:r>
      <w:r w:rsidR="00B54A96">
        <w:rPr>
          <w:rFonts w:cs="Arial"/>
          <w:szCs w:val="24"/>
        </w:rPr>
        <w:t xml:space="preserve"> financial position</w:t>
      </w:r>
      <w:r w:rsidR="00C81680" w:rsidRPr="005A65D5">
        <w:rPr>
          <w:rFonts w:cs="Arial"/>
          <w:szCs w:val="24"/>
        </w:rPr>
        <w:t xml:space="preserve"> for the </w:t>
      </w:r>
      <w:r w:rsidR="009B6685">
        <w:rPr>
          <w:rFonts w:cs="Arial"/>
          <w:szCs w:val="24"/>
        </w:rPr>
        <w:t xml:space="preserve">County </w:t>
      </w:r>
      <w:r w:rsidR="00C81680" w:rsidRPr="005A65D5">
        <w:rPr>
          <w:rFonts w:cs="Arial"/>
          <w:szCs w:val="24"/>
        </w:rPr>
        <w:t>Council</w:t>
      </w:r>
      <w:r w:rsidRPr="005A65D5">
        <w:rPr>
          <w:rFonts w:cs="Arial"/>
          <w:szCs w:val="24"/>
        </w:rPr>
        <w:t xml:space="preserve"> based on </w:t>
      </w:r>
      <w:r w:rsidR="006C35D4">
        <w:rPr>
          <w:rFonts w:cs="Arial"/>
          <w:szCs w:val="24"/>
        </w:rPr>
        <w:t>the latest</w:t>
      </w:r>
      <w:r w:rsidRPr="005A65D5">
        <w:rPr>
          <w:rFonts w:cs="Arial"/>
          <w:szCs w:val="24"/>
        </w:rPr>
        <w:t xml:space="preserve"> information</w:t>
      </w:r>
      <w:r w:rsidR="00C81680" w:rsidRPr="005A65D5">
        <w:rPr>
          <w:rFonts w:cs="Arial"/>
          <w:szCs w:val="24"/>
        </w:rPr>
        <w:t xml:space="preserve">. </w:t>
      </w:r>
    </w:p>
    <w:p w:rsidR="0043791F" w:rsidRDefault="0043791F">
      <w:pPr>
        <w:rPr>
          <w:rFonts w:cs="Arial"/>
          <w:szCs w:val="24"/>
          <w:highlight w:val="yellow"/>
        </w:rPr>
      </w:pPr>
      <w:r>
        <w:rPr>
          <w:rFonts w:cs="Arial"/>
          <w:highlight w:val="yellow"/>
        </w:rPr>
        <w:br w:type="page"/>
      </w:r>
    </w:p>
    <w:p w:rsidR="00FF313F" w:rsidRPr="005A65D5" w:rsidRDefault="005A65D5" w:rsidP="004321DB">
      <w:pPr>
        <w:spacing w:after="0"/>
        <w:jc w:val="both"/>
        <w:rPr>
          <w:rFonts w:cs="Arial"/>
          <w:szCs w:val="24"/>
        </w:rPr>
      </w:pPr>
      <w:r>
        <w:rPr>
          <w:rFonts w:cs="Arial"/>
          <w:b/>
          <w:szCs w:val="24"/>
        </w:rPr>
        <w:lastRenderedPageBreak/>
        <w:t xml:space="preserve">4. </w:t>
      </w:r>
      <w:r w:rsidR="003E4DC9" w:rsidRPr="005A65D5">
        <w:rPr>
          <w:rFonts w:cs="Arial"/>
          <w:b/>
          <w:szCs w:val="24"/>
        </w:rPr>
        <w:t>The</w:t>
      </w:r>
      <w:r w:rsidR="00054F61" w:rsidRPr="005A65D5">
        <w:rPr>
          <w:rFonts w:cs="Arial"/>
          <w:b/>
          <w:szCs w:val="24"/>
        </w:rPr>
        <w:t xml:space="preserve"> Revenue Budget</w:t>
      </w:r>
      <w:r w:rsidR="00054F61" w:rsidRPr="005A65D5">
        <w:rPr>
          <w:rFonts w:cs="Arial"/>
          <w:szCs w:val="24"/>
        </w:rPr>
        <w:t xml:space="preserve"> </w:t>
      </w:r>
      <w:r w:rsidR="00272254" w:rsidRPr="005A65D5">
        <w:rPr>
          <w:rFonts w:cs="Arial"/>
          <w:b/>
          <w:szCs w:val="24"/>
        </w:rPr>
        <w:t>201</w:t>
      </w:r>
      <w:r w:rsidR="00153BC0" w:rsidRPr="005A65D5">
        <w:rPr>
          <w:rFonts w:cs="Arial"/>
          <w:b/>
          <w:szCs w:val="24"/>
        </w:rPr>
        <w:t>6</w:t>
      </w:r>
      <w:r w:rsidR="00272254" w:rsidRPr="005A65D5">
        <w:rPr>
          <w:rFonts w:cs="Arial"/>
          <w:b/>
          <w:szCs w:val="24"/>
        </w:rPr>
        <w:t>/1</w:t>
      </w:r>
      <w:r w:rsidR="00153BC0" w:rsidRPr="005A65D5">
        <w:rPr>
          <w:rFonts w:cs="Arial"/>
          <w:b/>
          <w:szCs w:val="24"/>
        </w:rPr>
        <w:t>7</w:t>
      </w:r>
      <w:r w:rsidR="00272254" w:rsidRPr="005A65D5">
        <w:rPr>
          <w:rFonts w:cs="Arial"/>
          <w:b/>
          <w:szCs w:val="24"/>
        </w:rPr>
        <w:t xml:space="preserve"> to 20</w:t>
      </w:r>
      <w:r w:rsidR="00153BC0" w:rsidRPr="005A65D5">
        <w:rPr>
          <w:rFonts w:cs="Arial"/>
          <w:b/>
          <w:szCs w:val="24"/>
        </w:rPr>
        <w:t>20</w:t>
      </w:r>
      <w:r w:rsidR="00272254" w:rsidRPr="005A65D5">
        <w:rPr>
          <w:rFonts w:cs="Arial"/>
          <w:b/>
          <w:szCs w:val="24"/>
        </w:rPr>
        <w:t>/</w:t>
      </w:r>
      <w:r w:rsidR="00153BC0" w:rsidRPr="005A65D5">
        <w:rPr>
          <w:rFonts w:cs="Arial"/>
          <w:b/>
          <w:szCs w:val="24"/>
        </w:rPr>
        <w:t>21</w:t>
      </w:r>
    </w:p>
    <w:p w:rsidR="00FF313F" w:rsidRPr="005A65D5" w:rsidRDefault="00FF313F" w:rsidP="004321DB">
      <w:pPr>
        <w:spacing w:after="0"/>
        <w:jc w:val="both"/>
        <w:rPr>
          <w:rFonts w:cs="Arial"/>
          <w:szCs w:val="24"/>
        </w:rPr>
      </w:pPr>
    </w:p>
    <w:p w:rsidR="00D95E0B" w:rsidRDefault="003E3C92" w:rsidP="00AA35F3">
      <w:pPr>
        <w:pStyle w:val="ListParagraph"/>
        <w:numPr>
          <w:ilvl w:val="1"/>
          <w:numId w:val="2"/>
        </w:numPr>
        <w:spacing w:after="0"/>
        <w:ind w:left="426" w:hanging="425"/>
        <w:jc w:val="both"/>
        <w:rPr>
          <w:rFonts w:cs="Arial"/>
          <w:i/>
          <w:szCs w:val="24"/>
        </w:rPr>
      </w:pPr>
      <w:r w:rsidRPr="005A65D5">
        <w:rPr>
          <w:rFonts w:cs="Arial"/>
          <w:i/>
          <w:szCs w:val="24"/>
        </w:rPr>
        <w:t>The financial challenge</w:t>
      </w:r>
    </w:p>
    <w:p w:rsidR="005A65D5" w:rsidRPr="005A65D5" w:rsidRDefault="005A65D5" w:rsidP="004321DB">
      <w:pPr>
        <w:spacing w:after="0"/>
        <w:ind w:left="1"/>
        <w:jc w:val="both"/>
        <w:rPr>
          <w:rFonts w:cs="Arial"/>
          <w:i/>
          <w:szCs w:val="24"/>
        </w:rPr>
      </w:pPr>
    </w:p>
    <w:p w:rsidR="007D3028" w:rsidRDefault="007D3028" w:rsidP="004321DB">
      <w:pPr>
        <w:spacing w:after="0"/>
        <w:jc w:val="both"/>
        <w:rPr>
          <w:rFonts w:cs="Arial"/>
          <w:szCs w:val="24"/>
        </w:rPr>
      </w:pPr>
      <w:r w:rsidRPr="005A65D5">
        <w:rPr>
          <w:rFonts w:cs="Arial"/>
          <w:szCs w:val="24"/>
        </w:rPr>
        <w:t xml:space="preserve">The County Council's Medium Term Financial Strategy (MTFS) was approved by Full Council in February 2015 covering the 2015/16 budget and the forecast position for 2016/17 to 2017/18.  This identified a funding gap of £18.3m in 2016/17 and £8.1m in 2017/18 (£26.4m in total).  The </w:t>
      </w:r>
      <w:r w:rsidR="009B6685">
        <w:rPr>
          <w:rFonts w:cs="Arial"/>
          <w:szCs w:val="24"/>
        </w:rPr>
        <w:t xml:space="preserve">County </w:t>
      </w:r>
      <w:r w:rsidRPr="005A65D5">
        <w:rPr>
          <w:rFonts w:cs="Arial"/>
          <w:szCs w:val="24"/>
        </w:rPr>
        <w:t>Council also agreed that the MTFS should be reviewed following the General Election in May 2015. It was also agreed that the period of the MTFS should be extended to cover the full life of the parliamentary term (to 2020/21).</w:t>
      </w:r>
    </w:p>
    <w:p w:rsidR="00B54A96" w:rsidRPr="005A65D5" w:rsidRDefault="00B54A96" w:rsidP="004321DB">
      <w:pPr>
        <w:spacing w:after="0"/>
        <w:jc w:val="both"/>
        <w:rPr>
          <w:rFonts w:cs="Arial"/>
          <w:szCs w:val="24"/>
        </w:rPr>
      </w:pPr>
    </w:p>
    <w:p w:rsidR="00E572B6" w:rsidRDefault="001D4931" w:rsidP="004321DB">
      <w:pPr>
        <w:spacing w:after="0"/>
        <w:jc w:val="both"/>
        <w:rPr>
          <w:rFonts w:cs="Arial"/>
          <w:szCs w:val="24"/>
        </w:rPr>
      </w:pPr>
      <w:r w:rsidRPr="005A65D5">
        <w:rPr>
          <w:rFonts w:cs="Arial"/>
          <w:szCs w:val="24"/>
        </w:rPr>
        <w:t>During 201</w:t>
      </w:r>
      <w:r w:rsidR="007D3028" w:rsidRPr="005A65D5">
        <w:rPr>
          <w:rFonts w:cs="Arial"/>
          <w:szCs w:val="24"/>
        </w:rPr>
        <w:t>5</w:t>
      </w:r>
      <w:r w:rsidRPr="005A65D5">
        <w:rPr>
          <w:rFonts w:cs="Arial"/>
          <w:szCs w:val="24"/>
        </w:rPr>
        <w:t>/1</w:t>
      </w:r>
      <w:r w:rsidR="007D3028" w:rsidRPr="005A65D5">
        <w:rPr>
          <w:rFonts w:cs="Arial"/>
          <w:szCs w:val="24"/>
        </w:rPr>
        <w:t>6</w:t>
      </w:r>
      <w:r w:rsidRPr="005A65D5">
        <w:rPr>
          <w:rFonts w:cs="Arial"/>
          <w:szCs w:val="24"/>
        </w:rPr>
        <w:t xml:space="preserve"> Cabinet has received a number of </w:t>
      </w:r>
      <w:r w:rsidR="00B54A96">
        <w:rPr>
          <w:rFonts w:cs="Arial"/>
          <w:szCs w:val="24"/>
        </w:rPr>
        <w:t xml:space="preserve">MTFS </w:t>
      </w:r>
      <w:r w:rsidRPr="005A65D5">
        <w:rPr>
          <w:rFonts w:cs="Arial"/>
          <w:szCs w:val="24"/>
        </w:rPr>
        <w:t>reports</w:t>
      </w:r>
      <w:r w:rsidR="00FF313F" w:rsidRPr="005A65D5">
        <w:rPr>
          <w:rFonts w:cs="Arial"/>
          <w:szCs w:val="24"/>
        </w:rPr>
        <w:t xml:space="preserve"> </w:t>
      </w:r>
      <w:r w:rsidRPr="005A65D5">
        <w:rPr>
          <w:rFonts w:cs="Arial"/>
          <w:szCs w:val="24"/>
        </w:rPr>
        <w:t>that have</w:t>
      </w:r>
      <w:r w:rsidR="00087F0C" w:rsidRPr="005A65D5">
        <w:rPr>
          <w:rFonts w:cs="Arial"/>
          <w:szCs w:val="24"/>
        </w:rPr>
        <w:t xml:space="preserve"> </w:t>
      </w:r>
      <w:r w:rsidR="003E4DC9" w:rsidRPr="005A65D5">
        <w:rPr>
          <w:rFonts w:cs="Arial"/>
          <w:szCs w:val="24"/>
        </w:rPr>
        <w:t>identified</w:t>
      </w:r>
      <w:r w:rsidR="006B43E1" w:rsidRPr="005A65D5">
        <w:rPr>
          <w:rFonts w:cs="Arial"/>
          <w:szCs w:val="24"/>
        </w:rPr>
        <w:t xml:space="preserve"> further changes to the expected level of spending and in the anticipated level of resources available for that period.</w:t>
      </w:r>
      <w:r w:rsidR="00B54A96">
        <w:rPr>
          <w:rFonts w:cs="Arial"/>
          <w:szCs w:val="24"/>
        </w:rPr>
        <w:t xml:space="preserve"> </w:t>
      </w:r>
      <w:r w:rsidR="002E691D" w:rsidRPr="005A65D5">
        <w:rPr>
          <w:rFonts w:cs="Arial"/>
          <w:szCs w:val="24"/>
        </w:rPr>
        <w:t xml:space="preserve">The latest MTFS report to Cabinet </w:t>
      </w:r>
      <w:r w:rsidR="00351D95">
        <w:rPr>
          <w:rFonts w:cs="Arial"/>
          <w:szCs w:val="24"/>
        </w:rPr>
        <w:t xml:space="preserve">in January 2016 </w:t>
      </w:r>
      <w:r w:rsidR="002E691D" w:rsidRPr="005A65D5">
        <w:rPr>
          <w:rFonts w:cs="Arial"/>
          <w:szCs w:val="24"/>
        </w:rPr>
        <w:t>showed a</w:t>
      </w:r>
      <w:r w:rsidR="006835A9" w:rsidRPr="005A65D5">
        <w:rPr>
          <w:rFonts w:cs="Arial"/>
          <w:szCs w:val="24"/>
        </w:rPr>
        <w:t xml:space="preserve"> revised spending gap of £</w:t>
      </w:r>
      <w:r w:rsidR="00351D95">
        <w:rPr>
          <w:rFonts w:cs="Arial"/>
          <w:szCs w:val="24"/>
        </w:rPr>
        <w:t>200.5</w:t>
      </w:r>
      <w:r w:rsidR="006835A9" w:rsidRPr="005A65D5">
        <w:rPr>
          <w:rFonts w:cs="Arial"/>
          <w:szCs w:val="24"/>
        </w:rPr>
        <w:t>m</w:t>
      </w:r>
      <w:r w:rsidR="006A2F32" w:rsidRPr="005A65D5">
        <w:rPr>
          <w:rFonts w:cs="Arial"/>
          <w:szCs w:val="24"/>
        </w:rPr>
        <w:t xml:space="preserve"> </w:t>
      </w:r>
      <w:r w:rsidR="00892B9B">
        <w:rPr>
          <w:rFonts w:cs="Arial"/>
          <w:szCs w:val="24"/>
        </w:rPr>
        <w:t xml:space="preserve">(by 2020/21) </w:t>
      </w:r>
      <w:r w:rsidR="006A2F32" w:rsidRPr="005A65D5">
        <w:rPr>
          <w:rFonts w:cs="Arial"/>
          <w:szCs w:val="24"/>
        </w:rPr>
        <w:t>after £64.864m of savings</w:t>
      </w:r>
      <w:r w:rsidR="00892B9B">
        <w:rPr>
          <w:rFonts w:cs="Arial"/>
          <w:szCs w:val="24"/>
        </w:rPr>
        <w:t xml:space="preserve"> had already been agreed in November 2015</w:t>
      </w:r>
      <w:r w:rsidR="005A65D5">
        <w:rPr>
          <w:rFonts w:cs="Arial"/>
          <w:szCs w:val="24"/>
        </w:rPr>
        <w:t>.</w:t>
      </w:r>
    </w:p>
    <w:p w:rsidR="005A65D5" w:rsidRDefault="005A65D5" w:rsidP="004321DB">
      <w:pPr>
        <w:spacing w:after="0"/>
        <w:jc w:val="both"/>
        <w:rPr>
          <w:rFonts w:cs="Arial"/>
          <w:szCs w:val="24"/>
        </w:rPr>
      </w:pPr>
    </w:p>
    <w:p w:rsidR="00EA34E3" w:rsidRPr="00C36FEB" w:rsidRDefault="00D24AE3" w:rsidP="00AA35F3">
      <w:pPr>
        <w:pStyle w:val="ListParagraph"/>
        <w:numPr>
          <w:ilvl w:val="1"/>
          <w:numId w:val="2"/>
        </w:numPr>
        <w:spacing w:after="0"/>
        <w:ind w:left="426" w:hanging="426"/>
        <w:jc w:val="both"/>
        <w:rPr>
          <w:rFonts w:cs="Arial"/>
          <w:i/>
          <w:szCs w:val="24"/>
        </w:rPr>
      </w:pPr>
      <w:r w:rsidRPr="00C36FEB">
        <w:rPr>
          <w:rFonts w:cs="Arial"/>
          <w:i/>
          <w:szCs w:val="24"/>
        </w:rPr>
        <w:t xml:space="preserve">Meeting the challenge </w:t>
      </w:r>
    </w:p>
    <w:p w:rsidR="00034058" w:rsidRPr="005A65D5" w:rsidRDefault="00034058" w:rsidP="004321DB">
      <w:pPr>
        <w:spacing w:after="0"/>
        <w:jc w:val="both"/>
        <w:rPr>
          <w:rFonts w:cs="Arial"/>
          <w:szCs w:val="24"/>
        </w:rPr>
      </w:pPr>
    </w:p>
    <w:p w:rsidR="00034058" w:rsidRDefault="00034058" w:rsidP="004321DB">
      <w:pPr>
        <w:spacing w:after="0"/>
        <w:jc w:val="both"/>
        <w:rPr>
          <w:rFonts w:cs="Arial"/>
          <w:szCs w:val="24"/>
        </w:rPr>
      </w:pPr>
      <w:r w:rsidRPr="005A65D5">
        <w:rPr>
          <w:rFonts w:cs="Arial"/>
          <w:szCs w:val="24"/>
        </w:rPr>
        <w:t>In February 2015 the County Council considered a set of proposed service offer</w:t>
      </w:r>
      <w:r w:rsidR="00892B9B">
        <w:rPr>
          <w:rFonts w:cs="Arial"/>
          <w:szCs w:val="24"/>
        </w:rPr>
        <w:t>s</w:t>
      </w:r>
      <w:r w:rsidRPr="005A65D5">
        <w:rPr>
          <w:rFonts w:cs="Arial"/>
          <w:szCs w:val="24"/>
        </w:rPr>
        <w:t xml:space="preserve"> </w:t>
      </w:r>
      <w:r w:rsidR="002E691D" w:rsidRPr="005A65D5">
        <w:rPr>
          <w:rFonts w:cs="Arial"/>
          <w:szCs w:val="24"/>
        </w:rPr>
        <w:t xml:space="preserve">which </w:t>
      </w:r>
      <w:r w:rsidRPr="005A65D5">
        <w:rPr>
          <w:rFonts w:cs="Arial"/>
          <w:szCs w:val="24"/>
        </w:rPr>
        <w:t xml:space="preserve">set out what the </w:t>
      </w:r>
      <w:r w:rsidR="009B6685">
        <w:rPr>
          <w:rFonts w:cs="Arial"/>
          <w:szCs w:val="24"/>
        </w:rPr>
        <w:t xml:space="preserve">County </w:t>
      </w:r>
      <w:r w:rsidRPr="005A65D5">
        <w:rPr>
          <w:rFonts w:cs="Arial"/>
          <w:szCs w:val="24"/>
        </w:rPr>
        <w:t>Council wil</w:t>
      </w:r>
      <w:r w:rsidR="009B6685">
        <w:rPr>
          <w:rFonts w:cs="Arial"/>
          <w:szCs w:val="24"/>
        </w:rPr>
        <w:t xml:space="preserve">l deliver in terms of services </w:t>
      </w:r>
      <w:r w:rsidRPr="005A65D5">
        <w:rPr>
          <w:rFonts w:cs="Arial"/>
          <w:szCs w:val="24"/>
        </w:rPr>
        <w:t>and the offer to our communities. The service offer represented Cabinet's agreement as to how resources should be invested to maximise the use of reduced funding to deliver priorities. Savings made from these proposals formed part of the 2016/17 and 2017/18 budget</w:t>
      </w:r>
      <w:r w:rsidR="007209C8" w:rsidRPr="005A65D5">
        <w:rPr>
          <w:rFonts w:cs="Arial"/>
          <w:szCs w:val="24"/>
        </w:rPr>
        <w:t>.  As reported to Cabinet</w:t>
      </w:r>
      <w:r w:rsidR="002E691D" w:rsidRPr="005A65D5">
        <w:rPr>
          <w:rFonts w:cs="Arial"/>
          <w:szCs w:val="24"/>
        </w:rPr>
        <w:t xml:space="preserve"> during 2015/16</w:t>
      </w:r>
      <w:r w:rsidR="009B6685">
        <w:rPr>
          <w:rFonts w:cs="Arial"/>
          <w:szCs w:val="24"/>
        </w:rPr>
        <w:t>,</w:t>
      </w:r>
      <w:r w:rsidR="002E691D" w:rsidRPr="005A65D5">
        <w:rPr>
          <w:rFonts w:cs="Arial"/>
          <w:szCs w:val="24"/>
        </w:rPr>
        <w:t xml:space="preserve"> </w:t>
      </w:r>
      <w:r w:rsidR="007209C8" w:rsidRPr="005A65D5">
        <w:rPr>
          <w:rFonts w:cs="Arial"/>
          <w:szCs w:val="24"/>
        </w:rPr>
        <w:t xml:space="preserve">the MTFS </w:t>
      </w:r>
      <w:r w:rsidR="00892B9B">
        <w:rPr>
          <w:rFonts w:cs="Arial"/>
          <w:szCs w:val="24"/>
        </w:rPr>
        <w:t>was adjusted to take into account those</w:t>
      </w:r>
      <w:r w:rsidR="007209C8" w:rsidRPr="005A65D5">
        <w:rPr>
          <w:rFonts w:cs="Arial"/>
          <w:szCs w:val="24"/>
        </w:rPr>
        <w:t xml:space="preserve"> </w:t>
      </w:r>
      <w:r w:rsidR="009B6685">
        <w:rPr>
          <w:rFonts w:cs="Arial"/>
          <w:szCs w:val="24"/>
        </w:rPr>
        <w:t>saving</w:t>
      </w:r>
      <w:r w:rsidR="00892B9B">
        <w:rPr>
          <w:rFonts w:cs="Arial"/>
          <w:szCs w:val="24"/>
        </w:rPr>
        <w:t>s</w:t>
      </w:r>
      <w:r w:rsidR="009B6685">
        <w:rPr>
          <w:rFonts w:cs="Arial"/>
          <w:szCs w:val="24"/>
        </w:rPr>
        <w:t xml:space="preserve"> that are </w:t>
      </w:r>
      <w:r w:rsidR="007209C8" w:rsidRPr="005A65D5">
        <w:rPr>
          <w:rFonts w:cs="Arial"/>
          <w:szCs w:val="24"/>
        </w:rPr>
        <w:t>not deemed to be achievable.</w:t>
      </w:r>
    </w:p>
    <w:p w:rsidR="005A65D5" w:rsidRPr="005A65D5" w:rsidRDefault="005A65D5" w:rsidP="004321DB">
      <w:pPr>
        <w:spacing w:after="0"/>
        <w:jc w:val="both"/>
        <w:rPr>
          <w:rFonts w:cs="Arial"/>
          <w:szCs w:val="24"/>
        </w:rPr>
      </w:pPr>
    </w:p>
    <w:p w:rsidR="00D24AE3" w:rsidRDefault="00D24AE3" w:rsidP="004321DB">
      <w:pPr>
        <w:spacing w:after="0"/>
        <w:jc w:val="both"/>
        <w:rPr>
          <w:rFonts w:cs="Arial"/>
          <w:szCs w:val="24"/>
        </w:rPr>
      </w:pPr>
      <w:r w:rsidRPr="005A65D5">
        <w:rPr>
          <w:rFonts w:cs="Arial"/>
          <w:szCs w:val="24"/>
        </w:rPr>
        <w:t>In November</w:t>
      </w:r>
      <w:r w:rsidR="00034058" w:rsidRPr="005A65D5">
        <w:rPr>
          <w:rFonts w:cs="Arial"/>
          <w:szCs w:val="24"/>
        </w:rPr>
        <w:t xml:space="preserve"> 2015</w:t>
      </w:r>
      <w:r w:rsidRPr="005A65D5">
        <w:rPr>
          <w:rFonts w:cs="Arial"/>
          <w:szCs w:val="24"/>
        </w:rPr>
        <w:t>, Cabinet approved new budget reductions of £64.177m in 2016/17 and £0.687m in 2017/18</w:t>
      </w:r>
      <w:r w:rsidR="009B6685">
        <w:rPr>
          <w:rFonts w:cs="Arial"/>
          <w:szCs w:val="24"/>
        </w:rPr>
        <w:t>. T</w:t>
      </w:r>
      <w:r w:rsidRPr="005A65D5">
        <w:rPr>
          <w:rFonts w:cs="Arial"/>
          <w:szCs w:val="24"/>
        </w:rPr>
        <w:t xml:space="preserve">he 2016/17 budget </w:t>
      </w:r>
      <w:r w:rsidR="009B6685">
        <w:rPr>
          <w:rFonts w:cs="Arial"/>
          <w:szCs w:val="24"/>
        </w:rPr>
        <w:t xml:space="preserve">is </w:t>
      </w:r>
      <w:r w:rsidRPr="005A65D5">
        <w:rPr>
          <w:rFonts w:cs="Arial"/>
          <w:szCs w:val="24"/>
        </w:rPr>
        <w:t>prepared based upon th</w:t>
      </w:r>
      <w:r w:rsidR="009B6685">
        <w:rPr>
          <w:rFonts w:cs="Arial"/>
          <w:szCs w:val="24"/>
        </w:rPr>
        <w:t>ese revenue decisions</w:t>
      </w:r>
      <w:r w:rsidR="00892B9B">
        <w:rPr>
          <w:rFonts w:cs="Arial"/>
          <w:szCs w:val="24"/>
        </w:rPr>
        <w:t xml:space="preserve">, </w:t>
      </w:r>
      <w:r w:rsidRPr="005A65D5">
        <w:rPr>
          <w:rFonts w:cs="Arial"/>
          <w:szCs w:val="24"/>
        </w:rPr>
        <w:t xml:space="preserve">with the outcome of any consultations being reported to Full Council.  The MTFS incorporates these </w:t>
      </w:r>
      <w:r w:rsidR="009B6685">
        <w:rPr>
          <w:rFonts w:cs="Arial"/>
          <w:szCs w:val="24"/>
        </w:rPr>
        <w:t xml:space="preserve">budget </w:t>
      </w:r>
      <w:r w:rsidRPr="005A65D5">
        <w:rPr>
          <w:rFonts w:cs="Arial"/>
          <w:szCs w:val="24"/>
        </w:rPr>
        <w:t>reductions.</w:t>
      </w:r>
    </w:p>
    <w:p w:rsidR="005A65D5" w:rsidRPr="005A65D5" w:rsidRDefault="005A65D5" w:rsidP="004321DB">
      <w:pPr>
        <w:spacing w:after="0"/>
        <w:jc w:val="both"/>
        <w:rPr>
          <w:rFonts w:cs="Arial"/>
          <w:szCs w:val="24"/>
        </w:rPr>
      </w:pPr>
    </w:p>
    <w:p w:rsidR="006C35D4" w:rsidRDefault="00BF33F4" w:rsidP="004321DB">
      <w:pPr>
        <w:spacing w:after="0"/>
        <w:jc w:val="both"/>
        <w:rPr>
          <w:rFonts w:cs="Arial"/>
          <w:szCs w:val="24"/>
        </w:rPr>
      </w:pPr>
      <w:r w:rsidRPr="005A65D5">
        <w:rPr>
          <w:rFonts w:cs="Arial"/>
          <w:szCs w:val="24"/>
        </w:rPr>
        <w:t>The total value of the savings</w:t>
      </w:r>
      <w:r w:rsidR="00D23FFB">
        <w:rPr>
          <w:rFonts w:cs="Arial"/>
          <w:szCs w:val="24"/>
        </w:rPr>
        <w:t xml:space="preserve"> proposed are shown below:</w:t>
      </w:r>
    </w:p>
    <w:p w:rsidR="005A65D5" w:rsidRDefault="00F31AB6" w:rsidP="004321DB">
      <w:pPr>
        <w:spacing w:after="0"/>
        <w:jc w:val="both"/>
        <w:rPr>
          <w:rFonts w:cs="Arial"/>
          <w:szCs w:val="24"/>
        </w:rPr>
      </w:pPr>
      <w:r w:rsidRPr="005A65D5">
        <w:rPr>
          <w:rFonts w:cs="Arial"/>
          <w:szCs w:val="24"/>
        </w:rPr>
        <w:t xml:space="preserve"> </w:t>
      </w:r>
    </w:p>
    <w:p w:rsidR="006C35D4" w:rsidRPr="006C35D4" w:rsidRDefault="006C35D4" w:rsidP="004321DB">
      <w:pPr>
        <w:spacing w:after="0"/>
        <w:jc w:val="both"/>
        <w:rPr>
          <w:rFonts w:cs="Arial"/>
          <w:b/>
          <w:szCs w:val="24"/>
        </w:rPr>
      </w:pPr>
      <w:r w:rsidRPr="006C35D4">
        <w:rPr>
          <w:rFonts w:cs="Arial"/>
          <w:b/>
          <w:szCs w:val="24"/>
        </w:rPr>
        <w:t>Table 1</w:t>
      </w:r>
    </w:p>
    <w:tbl>
      <w:tblPr>
        <w:tblStyle w:val="TableGrid"/>
        <w:tblW w:w="9076" w:type="dxa"/>
        <w:tblLook w:val="04A0" w:firstRow="1" w:lastRow="0" w:firstColumn="1" w:lastColumn="0" w:noHBand="0" w:noVBand="1"/>
      </w:tblPr>
      <w:tblGrid>
        <w:gridCol w:w="3065"/>
        <w:gridCol w:w="1905"/>
        <w:gridCol w:w="2067"/>
        <w:gridCol w:w="2039"/>
      </w:tblGrid>
      <w:tr w:rsidR="00F31AB6" w:rsidRPr="005A65D5" w:rsidTr="00892B9B">
        <w:trPr>
          <w:trHeight w:val="806"/>
        </w:trPr>
        <w:tc>
          <w:tcPr>
            <w:tcW w:w="3065" w:type="dxa"/>
            <w:shd w:val="clear" w:color="auto" w:fill="BFBFBF" w:themeFill="background1" w:themeFillShade="BF"/>
            <w:vAlign w:val="center"/>
          </w:tcPr>
          <w:p w:rsidR="00F31AB6" w:rsidRPr="005A65D5" w:rsidRDefault="00F31AB6" w:rsidP="00892B9B">
            <w:pPr>
              <w:jc w:val="both"/>
              <w:rPr>
                <w:rFonts w:cs="Arial"/>
                <w:sz w:val="22"/>
              </w:rPr>
            </w:pPr>
          </w:p>
        </w:tc>
        <w:tc>
          <w:tcPr>
            <w:tcW w:w="1905" w:type="dxa"/>
            <w:shd w:val="clear" w:color="auto" w:fill="BFBFBF" w:themeFill="background1" w:themeFillShade="BF"/>
            <w:vAlign w:val="center"/>
          </w:tcPr>
          <w:p w:rsidR="00F31AB6" w:rsidRPr="005A65D5" w:rsidRDefault="00F31AB6" w:rsidP="00892B9B">
            <w:pPr>
              <w:jc w:val="center"/>
              <w:rPr>
                <w:rFonts w:cs="Arial"/>
                <w:b/>
                <w:sz w:val="22"/>
              </w:rPr>
            </w:pPr>
            <w:r w:rsidRPr="005A65D5">
              <w:rPr>
                <w:rFonts w:cs="Arial"/>
                <w:b/>
                <w:sz w:val="22"/>
              </w:rPr>
              <w:t>2016/17</w:t>
            </w:r>
          </w:p>
          <w:p w:rsidR="005A65D5" w:rsidRPr="005A65D5" w:rsidRDefault="005A65D5" w:rsidP="00892B9B">
            <w:pPr>
              <w:jc w:val="center"/>
              <w:rPr>
                <w:rFonts w:cs="Arial"/>
                <w:b/>
                <w:sz w:val="22"/>
              </w:rPr>
            </w:pPr>
            <w:r w:rsidRPr="005A65D5">
              <w:rPr>
                <w:rFonts w:cs="Arial"/>
                <w:b/>
                <w:sz w:val="22"/>
              </w:rPr>
              <w:t>£m</w:t>
            </w:r>
          </w:p>
        </w:tc>
        <w:tc>
          <w:tcPr>
            <w:tcW w:w="2067" w:type="dxa"/>
            <w:shd w:val="clear" w:color="auto" w:fill="BFBFBF" w:themeFill="background1" w:themeFillShade="BF"/>
            <w:vAlign w:val="center"/>
          </w:tcPr>
          <w:p w:rsidR="00F31AB6" w:rsidRPr="005A65D5" w:rsidRDefault="00F31AB6" w:rsidP="00892B9B">
            <w:pPr>
              <w:jc w:val="center"/>
              <w:rPr>
                <w:rFonts w:cs="Arial"/>
                <w:b/>
                <w:sz w:val="22"/>
              </w:rPr>
            </w:pPr>
            <w:r w:rsidRPr="005A65D5">
              <w:rPr>
                <w:rFonts w:cs="Arial"/>
                <w:b/>
                <w:sz w:val="22"/>
              </w:rPr>
              <w:t>2017/18</w:t>
            </w:r>
          </w:p>
          <w:p w:rsidR="005A65D5" w:rsidRPr="005A65D5" w:rsidRDefault="005A65D5" w:rsidP="00892B9B">
            <w:pPr>
              <w:jc w:val="center"/>
              <w:rPr>
                <w:rFonts w:cs="Arial"/>
                <w:b/>
                <w:sz w:val="22"/>
              </w:rPr>
            </w:pPr>
            <w:r w:rsidRPr="005A65D5">
              <w:rPr>
                <w:rFonts w:cs="Arial"/>
                <w:b/>
                <w:sz w:val="22"/>
              </w:rPr>
              <w:t>£m</w:t>
            </w:r>
          </w:p>
        </w:tc>
        <w:tc>
          <w:tcPr>
            <w:tcW w:w="2039" w:type="dxa"/>
            <w:shd w:val="clear" w:color="auto" w:fill="BFBFBF" w:themeFill="background1" w:themeFillShade="BF"/>
            <w:vAlign w:val="center"/>
          </w:tcPr>
          <w:p w:rsidR="00F31AB6" w:rsidRPr="005A65D5" w:rsidRDefault="00F31AB6" w:rsidP="00892B9B">
            <w:pPr>
              <w:jc w:val="center"/>
              <w:rPr>
                <w:rFonts w:cs="Arial"/>
                <w:b/>
                <w:sz w:val="22"/>
              </w:rPr>
            </w:pPr>
            <w:r w:rsidRPr="005A65D5">
              <w:rPr>
                <w:rFonts w:cs="Arial"/>
                <w:b/>
                <w:sz w:val="22"/>
              </w:rPr>
              <w:t>Total</w:t>
            </w:r>
          </w:p>
          <w:p w:rsidR="005A65D5" w:rsidRPr="005A65D5" w:rsidRDefault="005A65D5" w:rsidP="00892B9B">
            <w:pPr>
              <w:jc w:val="center"/>
              <w:rPr>
                <w:rFonts w:cs="Arial"/>
                <w:b/>
                <w:sz w:val="22"/>
              </w:rPr>
            </w:pPr>
            <w:r w:rsidRPr="005A65D5">
              <w:rPr>
                <w:rFonts w:cs="Arial"/>
                <w:b/>
                <w:sz w:val="22"/>
              </w:rPr>
              <w:t>£m</w:t>
            </w:r>
          </w:p>
        </w:tc>
      </w:tr>
      <w:tr w:rsidR="00F31AB6" w:rsidRPr="005A65D5" w:rsidTr="005A65D5">
        <w:trPr>
          <w:trHeight w:val="786"/>
        </w:trPr>
        <w:tc>
          <w:tcPr>
            <w:tcW w:w="3065" w:type="dxa"/>
            <w:vAlign w:val="center"/>
          </w:tcPr>
          <w:p w:rsidR="00F31AB6" w:rsidRPr="005A65D5" w:rsidRDefault="00F31AB6" w:rsidP="004321DB">
            <w:pPr>
              <w:spacing w:line="276" w:lineRule="auto"/>
              <w:jc w:val="both"/>
              <w:rPr>
                <w:rFonts w:cs="Arial"/>
                <w:sz w:val="22"/>
              </w:rPr>
            </w:pPr>
            <w:r w:rsidRPr="005A65D5">
              <w:rPr>
                <w:rFonts w:cs="Arial"/>
                <w:sz w:val="22"/>
              </w:rPr>
              <w:t>Prior year  Savings</w:t>
            </w:r>
            <w:r w:rsidR="006C35D4">
              <w:rPr>
                <w:rFonts w:cs="Arial"/>
                <w:sz w:val="22"/>
              </w:rPr>
              <w:t xml:space="preserve"> agreed</w:t>
            </w:r>
            <w:r w:rsidRPr="005A65D5">
              <w:rPr>
                <w:rFonts w:cs="Arial"/>
                <w:sz w:val="22"/>
              </w:rPr>
              <w:t xml:space="preserve"> within MTFS</w:t>
            </w:r>
          </w:p>
        </w:tc>
        <w:tc>
          <w:tcPr>
            <w:tcW w:w="1905" w:type="dxa"/>
            <w:vAlign w:val="center"/>
          </w:tcPr>
          <w:p w:rsidR="00F31AB6" w:rsidRPr="005A65D5" w:rsidRDefault="00F31AB6" w:rsidP="004321DB">
            <w:pPr>
              <w:spacing w:line="276" w:lineRule="auto"/>
              <w:jc w:val="center"/>
              <w:rPr>
                <w:rFonts w:cs="Arial"/>
                <w:sz w:val="22"/>
              </w:rPr>
            </w:pPr>
            <w:r w:rsidRPr="005A65D5">
              <w:rPr>
                <w:rFonts w:cs="Arial"/>
                <w:sz w:val="22"/>
              </w:rPr>
              <w:t>-20.252</w:t>
            </w:r>
          </w:p>
        </w:tc>
        <w:tc>
          <w:tcPr>
            <w:tcW w:w="2067" w:type="dxa"/>
            <w:vAlign w:val="center"/>
          </w:tcPr>
          <w:p w:rsidR="00F31AB6" w:rsidRPr="005A65D5" w:rsidRDefault="00F31AB6" w:rsidP="004321DB">
            <w:pPr>
              <w:spacing w:line="276" w:lineRule="auto"/>
              <w:jc w:val="center"/>
              <w:rPr>
                <w:rFonts w:cs="Arial"/>
                <w:sz w:val="22"/>
              </w:rPr>
            </w:pPr>
            <w:r w:rsidRPr="005A65D5">
              <w:rPr>
                <w:rFonts w:cs="Arial"/>
                <w:sz w:val="22"/>
              </w:rPr>
              <w:t>-44.434</w:t>
            </w:r>
          </w:p>
        </w:tc>
        <w:tc>
          <w:tcPr>
            <w:tcW w:w="2039" w:type="dxa"/>
            <w:vAlign w:val="center"/>
          </w:tcPr>
          <w:p w:rsidR="00F31AB6" w:rsidRPr="00075B93" w:rsidRDefault="00B623AD" w:rsidP="004321DB">
            <w:pPr>
              <w:spacing w:line="276" w:lineRule="auto"/>
              <w:jc w:val="center"/>
              <w:rPr>
                <w:rFonts w:cs="Arial"/>
                <w:b/>
                <w:sz w:val="22"/>
              </w:rPr>
            </w:pPr>
            <w:r w:rsidRPr="00075B93">
              <w:rPr>
                <w:rFonts w:cs="Arial"/>
                <w:b/>
                <w:sz w:val="22"/>
              </w:rPr>
              <w:t>-64.686</w:t>
            </w:r>
          </w:p>
        </w:tc>
      </w:tr>
      <w:tr w:rsidR="00F31AB6" w:rsidRPr="005A65D5" w:rsidTr="005A65D5">
        <w:trPr>
          <w:trHeight w:val="786"/>
        </w:trPr>
        <w:tc>
          <w:tcPr>
            <w:tcW w:w="3065" w:type="dxa"/>
            <w:vAlign w:val="center"/>
          </w:tcPr>
          <w:p w:rsidR="00F31AB6" w:rsidRPr="005A65D5" w:rsidRDefault="00F31AB6" w:rsidP="004321DB">
            <w:pPr>
              <w:spacing w:line="276" w:lineRule="auto"/>
              <w:jc w:val="both"/>
              <w:rPr>
                <w:rFonts w:cs="Arial"/>
                <w:sz w:val="22"/>
              </w:rPr>
            </w:pPr>
            <w:r w:rsidRPr="005A65D5">
              <w:rPr>
                <w:rFonts w:cs="Arial"/>
                <w:sz w:val="22"/>
              </w:rPr>
              <w:t>Savings agreed November 2015</w:t>
            </w:r>
          </w:p>
        </w:tc>
        <w:tc>
          <w:tcPr>
            <w:tcW w:w="1905" w:type="dxa"/>
            <w:vAlign w:val="center"/>
          </w:tcPr>
          <w:p w:rsidR="00F31AB6" w:rsidRPr="005A65D5" w:rsidRDefault="00F31AB6" w:rsidP="004321DB">
            <w:pPr>
              <w:spacing w:line="276" w:lineRule="auto"/>
              <w:jc w:val="center"/>
              <w:rPr>
                <w:rFonts w:cs="Arial"/>
                <w:sz w:val="22"/>
              </w:rPr>
            </w:pPr>
            <w:r w:rsidRPr="005A65D5">
              <w:rPr>
                <w:rFonts w:cs="Arial"/>
                <w:sz w:val="22"/>
              </w:rPr>
              <w:t>-64.177</w:t>
            </w:r>
          </w:p>
        </w:tc>
        <w:tc>
          <w:tcPr>
            <w:tcW w:w="2067" w:type="dxa"/>
            <w:vAlign w:val="center"/>
          </w:tcPr>
          <w:p w:rsidR="00F31AB6" w:rsidRPr="005A65D5" w:rsidRDefault="00F31AB6" w:rsidP="004321DB">
            <w:pPr>
              <w:spacing w:line="276" w:lineRule="auto"/>
              <w:jc w:val="center"/>
              <w:rPr>
                <w:rFonts w:cs="Arial"/>
                <w:sz w:val="22"/>
              </w:rPr>
            </w:pPr>
            <w:r w:rsidRPr="005A65D5">
              <w:rPr>
                <w:rFonts w:cs="Arial"/>
                <w:sz w:val="22"/>
              </w:rPr>
              <w:t>-0.687</w:t>
            </w:r>
          </w:p>
        </w:tc>
        <w:tc>
          <w:tcPr>
            <w:tcW w:w="2039" w:type="dxa"/>
            <w:vAlign w:val="center"/>
          </w:tcPr>
          <w:p w:rsidR="00F31AB6" w:rsidRPr="00075B93" w:rsidRDefault="00B623AD" w:rsidP="004321DB">
            <w:pPr>
              <w:spacing w:line="276" w:lineRule="auto"/>
              <w:jc w:val="center"/>
              <w:rPr>
                <w:rFonts w:cs="Arial"/>
                <w:b/>
                <w:sz w:val="22"/>
              </w:rPr>
            </w:pPr>
            <w:r w:rsidRPr="00075B93">
              <w:rPr>
                <w:rFonts w:cs="Arial"/>
                <w:b/>
                <w:sz w:val="22"/>
              </w:rPr>
              <w:t>-64.864</w:t>
            </w:r>
          </w:p>
        </w:tc>
      </w:tr>
    </w:tbl>
    <w:p w:rsidR="00236EFC" w:rsidRPr="005A65D5" w:rsidRDefault="009F206C" w:rsidP="004321DB">
      <w:pPr>
        <w:spacing w:after="0"/>
        <w:jc w:val="both"/>
        <w:rPr>
          <w:rFonts w:cs="Arial"/>
          <w:szCs w:val="24"/>
        </w:rPr>
      </w:pPr>
      <w:r w:rsidRPr="005A65D5">
        <w:rPr>
          <w:rFonts w:cs="Arial"/>
          <w:szCs w:val="24"/>
        </w:rPr>
        <w:lastRenderedPageBreak/>
        <w:t>Reports to Cabinet have clearly identified that t</w:t>
      </w:r>
      <w:r w:rsidR="0088407A" w:rsidRPr="005A65D5">
        <w:rPr>
          <w:rFonts w:cs="Arial"/>
          <w:szCs w:val="24"/>
        </w:rPr>
        <w:t>he</w:t>
      </w:r>
      <w:r w:rsidRPr="005A65D5">
        <w:rPr>
          <w:rFonts w:cs="Arial"/>
          <w:szCs w:val="24"/>
        </w:rPr>
        <w:t xml:space="preserve"> revenue budget for 2016/17 and 2017/18 </w:t>
      </w:r>
      <w:r w:rsidR="00892B9B">
        <w:rPr>
          <w:rFonts w:cs="Arial"/>
          <w:szCs w:val="24"/>
        </w:rPr>
        <w:t>will be heavily supported by</w:t>
      </w:r>
      <w:r w:rsidRPr="005A65D5">
        <w:rPr>
          <w:rFonts w:cs="Arial"/>
          <w:szCs w:val="24"/>
        </w:rPr>
        <w:t xml:space="preserve"> reserves. The value of the </w:t>
      </w:r>
      <w:r w:rsidR="00892B9B">
        <w:rPr>
          <w:rFonts w:cs="Arial"/>
          <w:szCs w:val="24"/>
        </w:rPr>
        <w:t xml:space="preserve">County </w:t>
      </w:r>
      <w:r w:rsidRPr="005A65D5">
        <w:rPr>
          <w:rFonts w:cs="Arial"/>
          <w:szCs w:val="24"/>
        </w:rPr>
        <w:t xml:space="preserve">Council's reserves is currently significant but </w:t>
      </w:r>
      <w:r w:rsidR="00892B9B">
        <w:rPr>
          <w:rFonts w:cs="Arial"/>
          <w:szCs w:val="24"/>
        </w:rPr>
        <w:t xml:space="preserve">they </w:t>
      </w:r>
      <w:r w:rsidRPr="005A65D5">
        <w:rPr>
          <w:rFonts w:cs="Arial"/>
          <w:szCs w:val="24"/>
        </w:rPr>
        <w:t>are non-recurrent</w:t>
      </w:r>
      <w:r w:rsidR="009B6685">
        <w:rPr>
          <w:rFonts w:cs="Arial"/>
          <w:szCs w:val="24"/>
        </w:rPr>
        <w:t xml:space="preserve">. Except for </w:t>
      </w:r>
      <w:r w:rsidRPr="005A65D5">
        <w:rPr>
          <w:rFonts w:cs="Arial"/>
          <w:szCs w:val="24"/>
        </w:rPr>
        <w:t>the County Fund</w:t>
      </w:r>
      <w:r w:rsidR="009B6685">
        <w:rPr>
          <w:rFonts w:cs="Arial"/>
          <w:szCs w:val="24"/>
        </w:rPr>
        <w:t>, all available reserves</w:t>
      </w:r>
      <w:r w:rsidRPr="005A65D5">
        <w:rPr>
          <w:rFonts w:cs="Arial"/>
          <w:szCs w:val="24"/>
        </w:rPr>
        <w:t xml:space="preserve"> are now fully committed over the next 2 years and will not therefore be available in later years to support managing future year budget pressures</w:t>
      </w:r>
      <w:r w:rsidR="009B6685">
        <w:rPr>
          <w:rFonts w:cs="Arial"/>
          <w:szCs w:val="24"/>
        </w:rPr>
        <w:t>.</w:t>
      </w:r>
    </w:p>
    <w:p w:rsidR="009F206C" w:rsidRPr="005A65D5" w:rsidRDefault="009F206C" w:rsidP="004321DB">
      <w:pPr>
        <w:spacing w:after="0"/>
        <w:jc w:val="both"/>
        <w:rPr>
          <w:rFonts w:cs="Arial"/>
          <w:szCs w:val="24"/>
        </w:rPr>
      </w:pPr>
    </w:p>
    <w:p w:rsidR="00FF5809" w:rsidRPr="005A65D5" w:rsidRDefault="005A65D5" w:rsidP="004321DB">
      <w:pPr>
        <w:spacing w:after="0"/>
        <w:jc w:val="both"/>
        <w:rPr>
          <w:rFonts w:cs="Arial"/>
          <w:b/>
          <w:szCs w:val="24"/>
        </w:rPr>
      </w:pPr>
      <w:r>
        <w:rPr>
          <w:rFonts w:cs="Arial"/>
          <w:b/>
          <w:szCs w:val="24"/>
        </w:rPr>
        <w:t xml:space="preserve">5. </w:t>
      </w:r>
      <w:r w:rsidR="00FF5809" w:rsidRPr="005A65D5">
        <w:rPr>
          <w:rFonts w:cs="Arial"/>
          <w:b/>
          <w:szCs w:val="24"/>
        </w:rPr>
        <w:t>The level of Resourc</w:t>
      </w:r>
      <w:r w:rsidR="008E4942" w:rsidRPr="005A65D5">
        <w:rPr>
          <w:rFonts w:cs="Arial"/>
          <w:b/>
          <w:szCs w:val="24"/>
        </w:rPr>
        <w:t>es Available to support the 201</w:t>
      </w:r>
      <w:r w:rsidR="00F31AB6" w:rsidRPr="005A65D5">
        <w:rPr>
          <w:rFonts w:cs="Arial"/>
          <w:b/>
          <w:szCs w:val="24"/>
        </w:rPr>
        <w:t>6</w:t>
      </w:r>
      <w:r w:rsidR="008E4942" w:rsidRPr="005A65D5">
        <w:rPr>
          <w:rFonts w:cs="Arial"/>
          <w:b/>
          <w:szCs w:val="24"/>
        </w:rPr>
        <w:t>/1</w:t>
      </w:r>
      <w:r w:rsidR="00F31AB6" w:rsidRPr="005A65D5">
        <w:rPr>
          <w:rFonts w:cs="Arial"/>
          <w:b/>
          <w:szCs w:val="24"/>
        </w:rPr>
        <w:t>7</w:t>
      </w:r>
      <w:r w:rsidR="00FF5809" w:rsidRPr="005A65D5">
        <w:rPr>
          <w:rFonts w:cs="Arial"/>
          <w:b/>
          <w:szCs w:val="24"/>
        </w:rPr>
        <w:t xml:space="preserve"> Revenue Budget</w:t>
      </w:r>
    </w:p>
    <w:p w:rsidR="00FF5809" w:rsidRPr="005A65D5" w:rsidRDefault="00FF5809" w:rsidP="004321DB">
      <w:pPr>
        <w:pStyle w:val="NoSpacing"/>
        <w:spacing w:line="276" w:lineRule="auto"/>
        <w:jc w:val="both"/>
        <w:rPr>
          <w:rFonts w:ascii="Arial" w:hAnsi="Arial" w:cs="Arial"/>
        </w:rPr>
      </w:pPr>
    </w:p>
    <w:p w:rsidR="00FF5809" w:rsidRDefault="00FF5809" w:rsidP="004321DB">
      <w:pPr>
        <w:spacing w:after="0"/>
        <w:jc w:val="both"/>
        <w:rPr>
          <w:rFonts w:cs="Arial"/>
          <w:szCs w:val="24"/>
        </w:rPr>
      </w:pPr>
      <w:r w:rsidRPr="005A65D5">
        <w:rPr>
          <w:rFonts w:cs="Arial"/>
          <w:szCs w:val="24"/>
        </w:rPr>
        <w:t>The revenue resources which s</w:t>
      </w:r>
      <w:r w:rsidR="00DD20CF" w:rsidRPr="005A65D5">
        <w:rPr>
          <w:rFonts w:cs="Arial"/>
          <w:szCs w:val="24"/>
        </w:rPr>
        <w:t>upport the County Council’s 20</w:t>
      </w:r>
      <w:r w:rsidRPr="005A65D5">
        <w:rPr>
          <w:rFonts w:cs="Arial"/>
          <w:szCs w:val="24"/>
        </w:rPr>
        <w:t>1</w:t>
      </w:r>
      <w:r w:rsidR="00F31AB6" w:rsidRPr="005A65D5">
        <w:rPr>
          <w:rFonts w:cs="Arial"/>
          <w:szCs w:val="24"/>
        </w:rPr>
        <w:t>6</w:t>
      </w:r>
      <w:r w:rsidR="00DD20CF" w:rsidRPr="005A65D5">
        <w:rPr>
          <w:rFonts w:cs="Arial"/>
          <w:szCs w:val="24"/>
        </w:rPr>
        <w:t>/1</w:t>
      </w:r>
      <w:r w:rsidR="00F31AB6" w:rsidRPr="005A65D5">
        <w:rPr>
          <w:rFonts w:cs="Arial"/>
          <w:szCs w:val="24"/>
        </w:rPr>
        <w:t>7</w:t>
      </w:r>
      <w:r w:rsidRPr="005A65D5">
        <w:rPr>
          <w:rFonts w:cs="Arial"/>
          <w:szCs w:val="24"/>
        </w:rPr>
        <w:t xml:space="preserve"> budget are: </w:t>
      </w:r>
    </w:p>
    <w:p w:rsidR="00351D95" w:rsidRPr="005A65D5" w:rsidRDefault="00351D95" w:rsidP="004321DB">
      <w:pPr>
        <w:spacing w:after="0"/>
        <w:jc w:val="both"/>
        <w:rPr>
          <w:rFonts w:cs="Arial"/>
          <w:szCs w:val="24"/>
        </w:rPr>
      </w:pPr>
    </w:p>
    <w:p w:rsidR="00FF5809" w:rsidRPr="005A65D5" w:rsidRDefault="00FF5809" w:rsidP="00AA35F3">
      <w:pPr>
        <w:numPr>
          <w:ilvl w:val="0"/>
          <w:numId w:val="1"/>
        </w:numPr>
        <w:spacing w:after="0"/>
        <w:ind w:left="284" w:hanging="284"/>
        <w:jc w:val="both"/>
        <w:rPr>
          <w:rFonts w:cs="Arial"/>
          <w:szCs w:val="24"/>
        </w:rPr>
      </w:pPr>
      <w:r w:rsidRPr="005A65D5">
        <w:rPr>
          <w:rFonts w:cs="Arial"/>
          <w:szCs w:val="24"/>
        </w:rPr>
        <w:t>R</w:t>
      </w:r>
      <w:r w:rsidR="00127ADB" w:rsidRPr="005A65D5">
        <w:rPr>
          <w:rFonts w:cs="Arial"/>
          <w:szCs w:val="24"/>
        </w:rPr>
        <w:t>evenue Support Grant</w:t>
      </w:r>
      <w:r w:rsidR="00351D95">
        <w:rPr>
          <w:rFonts w:cs="Arial"/>
          <w:szCs w:val="24"/>
        </w:rPr>
        <w:t xml:space="preserve"> ;</w:t>
      </w:r>
    </w:p>
    <w:p w:rsidR="00FF5809" w:rsidRPr="005A65D5" w:rsidRDefault="001B12BE" w:rsidP="00AA35F3">
      <w:pPr>
        <w:numPr>
          <w:ilvl w:val="0"/>
          <w:numId w:val="1"/>
        </w:numPr>
        <w:spacing w:after="0"/>
        <w:ind w:left="284" w:hanging="284"/>
        <w:jc w:val="both"/>
        <w:rPr>
          <w:rFonts w:cs="Arial"/>
          <w:szCs w:val="24"/>
        </w:rPr>
      </w:pPr>
      <w:r w:rsidRPr="005A65D5">
        <w:rPr>
          <w:rFonts w:cs="Arial"/>
          <w:szCs w:val="24"/>
        </w:rPr>
        <w:t>Business Rates</w:t>
      </w:r>
      <w:r w:rsidR="00351D95">
        <w:rPr>
          <w:rFonts w:cs="Arial"/>
          <w:szCs w:val="24"/>
        </w:rPr>
        <w:t xml:space="preserve"> ;</w:t>
      </w:r>
    </w:p>
    <w:p w:rsidR="004C0F29" w:rsidRPr="005A65D5" w:rsidRDefault="00FF5809" w:rsidP="00AA35F3">
      <w:pPr>
        <w:numPr>
          <w:ilvl w:val="0"/>
          <w:numId w:val="1"/>
        </w:numPr>
        <w:spacing w:after="0"/>
        <w:ind w:left="284" w:hanging="284"/>
        <w:jc w:val="both"/>
        <w:rPr>
          <w:rFonts w:cs="Arial"/>
          <w:szCs w:val="24"/>
        </w:rPr>
      </w:pPr>
      <w:r w:rsidRPr="005A65D5">
        <w:rPr>
          <w:rFonts w:cs="Arial"/>
          <w:szCs w:val="24"/>
        </w:rPr>
        <w:t>Council Tax</w:t>
      </w:r>
      <w:r w:rsidR="00351D95">
        <w:rPr>
          <w:rFonts w:cs="Arial"/>
          <w:szCs w:val="24"/>
        </w:rPr>
        <w:t xml:space="preserve"> ;</w:t>
      </w:r>
    </w:p>
    <w:p w:rsidR="004C0F29" w:rsidRPr="005A65D5" w:rsidRDefault="004C0F29" w:rsidP="00AA35F3">
      <w:pPr>
        <w:numPr>
          <w:ilvl w:val="0"/>
          <w:numId w:val="1"/>
        </w:numPr>
        <w:spacing w:after="0"/>
        <w:ind w:left="284" w:hanging="284"/>
        <w:jc w:val="both"/>
        <w:rPr>
          <w:rFonts w:cs="Arial"/>
          <w:szCs w:val="24"/>
        </w:rPr>
      </w:pPr>
      <w:r w:rsidRPr="005A65D5">
        <w:rPr>
          <w:rFonts w:cs="Arial"/>
          <w:szCs w:val="24"/>
        </w:rPr>
        <w:t>New Homes Bonus</w:t>
      </w:r>
      <w:r w:rsidR="00351D95">
        <w:rPr>
          <w:rFonts w:cs="Arial"/>
          <w:szCs w:val="24"/>
        </w:rPr>
        <w:t xml:space="preserve"> ;</w:t>
      </w:r>
    </w:p>
    <w:p w:rsidR="00FF5809" w:rsidRPr="005A65D5" w:rsidRDefault="00B623AD" w:rsidP="00AA35F3">
      <w:pPr>
        <w:numPr>
          <w:ilvl w:val="0"/>
          <w:numId w:val="1"/>
        </w:numPr>
        <w:spacing w:after="0"/>
        <w:ind w:left="284" w:hanging="284"/>
        <w:jc w:val="both"/>
        <w:rPr>
          <w:rFonts w:cs="Arial"/>
          <w:szCs w:val="24"/>
        </w:rPr>
      </w:pPr>
      <w:r w:rsidRPr="005A65D5">
        <w:rPr>
          <w:rFonts w:cs="Arial"/>
          <w:szCs w:val="24"/>
        </w:rPr>
        <w:t xml:space="preserve">New Better Care Fund, and </w:t>
      </w:r>
    </w:p>
    <w:p w:rsidR="00B623AD" w:rsidRPr="005A65D5" w:rsidRDefault="00B623AD" w:rsidP="00AA35F3">
      <w:pPr>
        <w:numPr>
          <w:ilvl w:val="0"/>
          <w:numId w:val="1"/>
        </w:numPr>
        <w:spacing w:after="0"/>
        <w:ind w:left="284" w:hanging="284"/>
        <w:jc w:val="both"/>
        <w:rPr>
          <w:rFonts w:cs="Arial"/>
          <w:szCs w:val="24"/>
        </w:rPr>
      </w:pPr>
      <w:r w:rsidRPr="005A65D5">
        <w:rPr>
          <w:rFonts w:cs="Arial"/>
          <w:szCs w:val="24"/>
        </w:rPr>
        <w:t>Capital receipts</w:t>
      </w:r>
      <w:r w:rsidR="00351D95">
        <w:rPr>
          <w:rFonts w:cs="Arial"/>
          <w:szCs w:val="24"/>
        </w:rPr>
        <w:t>.</w:t>
      </w:r>
    </w:p>
    <w:p w:rsidR="00B623AD" w:rsidRPr="005A65D5" w:rsidRDefault="00B623AD" w:rsidP="004321DB">
      <w:pPr>
        <w:spacing w:after="0"/>
        <w:jc w:val="both"/>
        <w:rPr>
          <w:rFonts w:cs="Arial"/>
          <w:szCs w:val="24"/>
        </w:rPr>
      </w:pPr>
    </w:p>
    <w:p w:rsidR="00B623AD" w:rsidRPr="005A65D5" w:rsidRDefault="00B623AD" w:rsidP="004321DB">
      <w:pPr>
        <w:spacing w:after="0"/>
        <w:jc w:val="both"/>
        <w:rPr>
          <w:rFonts w:cs="Arial"/>
          <w:szCs w:val="24"/>
        </w:rPr>
      </w:pPr>
      <w:r w:rsidRPr="005A65D5">
        <w:rPr>
          <w:rFonts w:cs="Arial"/>
          <w:szCs w:val="24"/>
        </w:rPr>
        <w:t>In addition to these the County Council receives a number of ring-fenced grants.</w:t>
      </w:r>
    </w:p>
    <w:p w:rsidR="00FF5809" w:rsidRPr="005A65D5" w:rsidRDefault="00FF5809" w:rsidP="004321DB">
      <w:pPr>
        <w:pStyle w:val="NoSpacing"/>
        <w:spacing w:line="276" w:lineRule="auto"/>
        <w:jc w:val="both"/>
        <w:rPr>
          <w:rFonts w:ascii="Arial" w:hAnsi="Arial" w:cs="Arial"/>
        </w:rPr>
      </w:pPr>
    </w:p>
    <w:p w:rsidR="00424AA3" w:rsidRDefault="00424AA3" w:rsidP="004321DB">
      <w:pPr>
        <w:pStyle w:val="NoSpacing"/>
        <w:spacing w:line="276" w:lineRule="auto"/>
        <w:jc w:val="both"/>
        <w:rPr>
          <w:rFonts w:ascii="Arial" w:hAnsi="Arial" w:cs="Arial"/>
        </w:rPr>
      </w:pPr>
      <w:r w:rsidRPr="005A65D5">
        <w:rPr>
          <w:rFonts w:ascii="Arial" w:hAnsi="Arial" w:cs="Arial"/>
        </w:rPr>
        <w:t xml:space="preserve">The level of resources </w:t>
      </w:r>
      <w:r w:rsidR="00626AB1" w:rsidRPr="005A65D5">
        <w:rPr>
          <w:rFonts w:ascii="Arial" w:hAnsi="Arial" w:cs="Arial"/>
        </w:rPr>
        <w:t>reflected in the MTFS for</w:t>
      </w:r>
      <w:r w:rsidRPr="005A65D5">
        <w:rPr>
          <w:rFonts w:ascii="Arial" w:hAnsi="Arial" w:cs="Arial"/>
        </w:rPr>
        <w:t xml:space="preserve"> 201</w:t>
      </w:r>
      <w:r w:rsidR="00F31AB6" w:rsidRPr="005A65D5">
        <w:rPr>
          <w:rFonts w:ascii="Arial" w:hAnsi="Arial" w:cs="Arial"/>
        </w:rPr>
        <w:t>6</w:t>
      </w:r>
      <w:r w:rsidRPr="005A65D5">
        <w:rPr>
          <w:rFonts w:ascii="Arial" w:hAnsi="Arial" w:cs="Arial"/>
        </w:rPr>
        <w:t>/1</w:t>
      </w:r>
      <w:r w:rsidR="00F31AB6" w:rsidRPr="005A65D5">
        <w:rPr>
          <w:rFonts w:ascii="Arial" w:hAnsi="Arial" w:cs="Arial"/>
        </w:rPr>
        <w:t>7</w:t>
      </w:r>
      <w:r w:rsidR="004C039D" w:rsidRPr="005A65D5">
        <w:rPr>
          <w:rFonts w:ascii="Arial" w:hAnsi="Arial" w:cs="Arial"/>
        </w:rPr>
        <w:t xml:space="preserve"> and future years</w:t>
      </w:r>
      <w:r w:rsidRPr="005A65D5">
        <w:rPr>
          <w:rFonts w:ascii="Arial" w:hAnsi="Arial" w:cs="Arial"/>
        </w:rPr>
        <w:t xml:space="preserve"> is as follows:</w:t>
      </w:r>
    </w:p>
    <w:p w:rsidR="006C35D4" w:rsidRPr="005A65D5" w:rsidRDefault="006C35D4" w:rsidP="004321DB">
      <w:pPr>
        <w:pStyle w:val="NoSpacing"/>
        <w:spacing w:line="276" w:lineRule="auto"/>
        <w:jc w:val="both"/>
        <w:rPr>
          <w:rFonts w:ascii="Arial" w:hAnsi="Arial" w:cs="Arial"/>
        </w:rPr>
      </w:pPr>
    </w:p>
    <w:p w:rsidR="00953D0D" w:rsidRPr="006C35D4" w:rsidRDefault="006C35D4" w:rsidP="004321DB">
      <w:pPr>
        <w:pStyle w:val="NoSpacing"/>
        <w:spacing w:line="276" w:lineRule="auto"/>
        <w:jc w:val="both"/>
        <w:rPr>
          <w:rFonts w:ascii="Arial" w:hAnsi="Arial" w:cs="Arial"/>
          <w:b/>
        </w:rPr>
      </w:pPr>
      <w:r w:rsidRPr="006C35D4">
        <w:rPr>
          <w:rFonts w:ascii="Arial" w:hAnsi="Arial" w:cs="Arial"/>
          <w:b/>
        </w:rPr>
        <w:t>Table 2</w:t>
      </w:r>
    </w:p>
    <w:tbl>
      <w:tblPr>
        <w:tblStyle w:val="TableGrid"/>
        <w:tblW w:w="0" w:type="auto"/>
        <w:tblLayout w:type="fixed"/>
        <w:tblLook w:val="04A0" w:firstRow="1" w:lastRow="0" w:firstColumn="1" w:lastColumn="0" w:noHBand="0" w:noVBand="1"/>
      </w:tblPr>
      <w:tblGrid>
        <w:gridCol w:w="2263"/>
        <w:gridCol w:w="1350"/>
        <w:gridCol w:w="1351"/>
        <w:gridCol w:w="1350"/>
        <w:gridCol w:w="1351"/>
        <w:gridCol w:w="1351"/>
      </w:tblGrid>
      <w:tr w:rsidR="005670CA" w:rsidRPr="00252953" w:rsidTr="00892B9B">
        <w:trPr>
          <w:trHeight w:val="593"/>
        </w:trPr>
        <w:tc>
          <w:tcPr>
            <w:tcW w:w="2263" w:type="dxa"/>
            <w:shd w:val="clear" w:color="auto" w:fill="BFBFBF" w:themeFill="background1" w:themeFillShade="BF"/>
            <w:vAlign w:val="center"/>
          </w:tcPr>
          <w:p w:rsidR="005670CA" w:rsidRPr="00252953" w:rsidRDefault="005670CA" w:rsidP="00892B9B">
            <w:pPr>
              <w:pStyle w:val="NoSpacing"/>
              <w:jc w:val="both"/>
              <w:rPr>
                <w:rFonts w:ascii="Arial" w:hAnsi="Arial" w:cs="Arial"/>
                <w:sz w:val="22"/>
                <w:szCs w:val="22"/>
              </w:rPr>
            </w:pPr>
          </w:p>
        </w:tc>
        <w:tc>
          <w:tcPr>
            <w:tcW w:w="1350" w:type="dxa"/>
            <w:shd w:val="clear" w:color="auto" w:fill="BFBFBF" w:themeFill="background1" w:themeFillShade="BF"/>
            <w:vAlign w:val="center"/>
          </w:tcPr>
          <w:p w:rsidR="005670CA" w:rsidRPr="00252953" w:rsidRDefault="005670CA" w:rsidP="00892B9B">
            <w:pPr>
              <w:pStyle w:val="NoSpacing"/>
              <w:jc w:val="center"/>
              <w:rPr>
                <w:rFonts w:ascii="Arial" w:hAnsi="Arial" w:cs="Arial"/>
                <w:b/>
                <w:sz w:val="22"/>
                <w:szCs w:val="22"/>
              </w:rPr>
            </w:pPr>
            <w:r w:rsidRPr="00252953">
              <w:rPr>
                <w:rFonts w:ascii="Arial" w:hAnsi="Arial" w:cs="Arial"/>
                <w:b/>
                <w:sz w:val="22"/>
                <w:szCs w:val="22"/>
              </w:rPr>
              <w:t>2016/17</w:t>
            </w:r>
          </w:p>
          <w:p w:rsidR="005A65D5" w:rsidRPr="00252953" w:rsidRDefault="005A65D5" w:rsidP="00892B9B">
            <w:pPr>
              <w:pStyle w:val="NoSpacing"/>
              <w:jc w:val="center"/>
              <w:rPr>
                <w:rFonts w:ascii="Arial" w:hAnsi="Arial" w:cs="Arial"/>
                <w:b/>
                <w:sz w:val="22"/>
                <w:szCs w:val="22"/>
              </w:rPr>
            </w:pPr>
            <w:r w:rsidRPr="00252953">
              <w:rPr>
                <w:rFonts w:ascii="Arial" w:hAnsi="Arial" w:cs="Arial"/>
                <w:b/>
                <w:sz w:val="22"/>
                <w:szCs w:val="22"/>
              </w:rPr>
              <w:t>£m</w:t>
            </w:r>
          </w:p>
        </w:tc>
        <w:tc>
          <w:tcPr>
            <w:tcW w:w="1351" w:type="dxa"/>
            <w:shd w:val="clear" w:color="auto" w:fill="BFBFBF" w:themeFill="background1" w:themeFillShade="BF"/>
            <w:vAlign w:val="center"/>
          </w:tcPr>
          <w:p w:rsidR="005670CA" w:rsidRPr="00252953" w:rsidRDefault="005670CA" w:rsidP="00892B9B">
            <w:pPr>
              <w:pStyle w:val="NoSpacing"/>
              <w:jc w:val="center"/>
              <w:rPr>
                <w:rFonts w:ascii="Arial" w:hAnsi="Arial" w:cs="Arial"/>
                <w:b/>
                <w:sz w:val="22"/>
                <w:szCs w:val="22"/>
              </w:rPr>
            </w:pPr>
            <w:r w:rsidRPr="00252953">
              <w:rPr>
                <w:rFonts w:ascii="Arial" w:hAnsi="Arial" w:cs="Arial"/>
                <w:b/>
                <w:sz w:val="22"/>
                <w:szCs w:val="22"/>
              </w:rPr>
              <w:t>2017/18</w:t>
            </w:r>
          </w:p>
          <w:p w:rsidR="005A65D5" w:rsidRPr="00252953" w:rsidRDefault="005A65D5" w:rsidP="00892B9B">
            <w:pPr>
              <w:pStyle w:val="NoSpacing"/>
              <w:jc w:val="center"/>
              <w:rPr>
                <w:rFonts w:ascii="Arial" w:hAnsi="Arial" w:cs="Arial"/>
                <w:b/>
                <w:sz w:val="22"/>
                <w:szCs w:val="22"/>
              </w:rPr>
            </w:pPr>
            <w:r w:rsidRPr="00252953">
              <w:rPr>
                <w:rFonts w:ascii="Arial" w:hAnsi="Arial" w:cs="Arial"/>
                <w:b/>
                <w:sz w:val="22"/>
                <w:szCs w:val="22"/>
              </w:rPr>
              <w:t>£m</w:t>
            </w:r>
          </w:p>
        </w:tc>
        <w:tc>
          <w:tcPr>
            <w:tcW w:w="1350" w:type="dxa"/>
            <w:shd w:val="clear" w:color="auto" w:fill="BFBFBF" w:themeFill="background1" w:themeFillShade="BF"/>
            <w:vAlign w:val="center"/>
          </w:tcPr>
          <w:p w:rsidR="005670CA" w:rsidRPr="00252953" w:rsidRDefault="005670CA" w:rsidP="00892B9B">
            <w:pPr>
              <w:pStyle w:val="NoSpacing"/>
              <w:jc w:val="center"/>
              <w:rPr>
                <w:rFonts w:ascii="Arial" w:hAnsi="Arial" w:cs="Arial"/>
                <w:b/>
                <w:sz w:val="22"/>
                <w:szCs w:val="22"/>
              </w:rPr>
            </w:pPr>
            <w:r w:rsidRPr="00252953">
              <w:rPr>
                <w:rFonts w:ascii="Arial" w:hAnsi="Arial" w:cs="Arial"/>
                <w:b/>
                <w:sz w:val="22"/>
                <w:szCs w:val="22"/>
              </w:rPr>
              <w:t>2018/19</w:t>
            </w:r>
          </w:p>
          <w:p w:rsidR="005A65D5" w:rsidRPr="00252953" w:rsidRDefault="005A65D5" w:rsidP="00892B9B">
            <w:pPr>
              <w:pStyle w:val="NoSpacing"/>
              <w:jc w:val="center"/>
              <w:rPr>
                <w:rFonts w:ascii="Arial" w:hAnsi="Arial" w:cs="Arial"/>
                <w:b/>
                <w:sz w:val="22"/>
                <w:szCs w:val="22"/>
              </w:rPr>
            </w:pPr>
            <w:r w:rsidRPr="00252953">
              <w:rPr>
                <w:rFonts w:ascii="Arial" w:hAnsi="Arial" w:cs="Arial"/>
                <w:b/>
                <w:sz w:val="22"/>
                <w:szCs w:val="22"/>
              </w:rPr>
              <w:t>£m</w:t>
            </w:r>
          </w:p>
        </w:tc>
        <w:tc>
          <w:tcPr>
            <w:tcW w:w="1351" w:type="dxa"/>
            <w:shd w:val="clear" w:color="auto" w:fill="BFBFBF" w:themeFill="background1" w:themeFillShade="BF"/>
            <w:vAlign w:val="center"/>
          </w:tcPr>
          <w:p w:rsidR="005670CA" w:rsidRPr="00252953" w:rsidRDefault="005670CA" w:rsidP="00892B9B">
            <w:pPr>
              <w:pStyle w:val="NoSpacing"/>
              <w:jc w:val="center"/>
              <w:rPr>
                <w:rFonts w:ascii="Arial" w:hAnsi="Arial" w:cs="Arial"/>
                <w:b/>
                <w:sz w:val="22"/>
                <w:szCs w:val="22"/>
              </w:rPr>
            </w:pPr>
            <w:r w:rsidRPr="00252953">
              <w:rPr>
                <w:rFonts w:ascii="Arial" w:hAnsi="Arial" w:cs="Arial"/>
                <w:b/>
                <w:sz w:val="22"/>
                <w:szCs w:val="22"/>
              </w:rPr>
              <w:t>2019/20</w:t>
            </w:r>
          </w:p>
          <w:p w:rsidR="005A65D5" w:rsidRPr="00252953" w:rsidRDefault="005A65D5" w:rsidP="00892B9B">
            <w:pPr>
              <w:pStyle w:val="NoSpacing"/>
              <w:jc w:val="center"/>
              <w:rPr>
                <w:rFonts w:ascii="Arial" w:hAnsi="Arial" w:cs="Arial"/>
                <w:b/>
                <w:sz w:val="22"/>
                <w:szCs w:val="22"/>
              </w:rPr>
            </w:pPr>
            <w:r w:rsidRPr="00252953">
              <w:rPr>
                <w:rFonts w:ascii="Arial" w:hAnsi="Arial" w:cs="Arial"/>
                <w:b/>
                <w:sz w:val="22"/>
                <w:szCs w:val="22"/>
              </w:rPr>
              <w:t>£m</w:t>
            </w:r>
          </w:p>
        </w:tc>
        <w:tc>
          <w:tcPr>
            <w:tcW w:w="1351" w:type="dxa"/>
            <w:shd w:val="clear" w:color="auto" w:fill="BFBFBF" w:themeFill="background1" w:themeFillShade="BF"/>
            <w:vAlign w:val="center"/>
          </w:tcPr>
          <w:p w:rsidR="005670CA" w:rsidRPr="00252953" w:rsidRDefault="005670CA" w:rsidP="00892B9B">
            <w:pPr>
              <w:pStyle w:val="NoSpacing"/>
              <w:jc w:val="center"/>
              <w:rPr>
                <w:rFonts w:ascii="Arial" w:hAnsi="Arial" w:cs="Arial"/>
                <w:b/>
                <w:sz w:val="22"/>
                <w:szCs w:val="22"/>
              </w:rPr>
            </w:pPr>
            <w:r w:rsidRPr="00252953">
              <w:rPr>
                <w:rFonts w:ascii="Arial" w:hAnsi="Arial" w:cs="Arial"/>
                <w:b/>
                <w:sz w:val="22"/>
                <w:szCs w:val="22"/>
              </w:rPr>
              <w:t>2020/21</w:t>
            </w:r>
          </w:p>
          <w:p w:rsidR="005A65D5" w:rsidRPr="00252953" w:rsidRDefault="005A65D5" w:rsidP="00892B9B">
            <w:pPr>
              <w:pStyle w:val="NoSpacing"/>
              <w:jc w:val="center"/>
              <w:rPr>
                <w:rFonts w:ascii="Arial" w:hAnsi="Arial" w:cs="Arial"/>
                <w:b/>
                <w:sz w:val="22"/>
                <w:szCs w:val="22"/>
              </w:rPr>
            </w:pPr>
            <w:r w:rsidRPr="00252953">
              <w:rPr>
                <w:rFonts w:ascii="Arial" w:hAnsi="Arial" w:cs="Arial"/>
                <w:b/>
                <w:sz w:val="22"/>
                <w:szCs w:val="22"/>
              </w:rPr>
              <w:t>£m</w:t>
            </w:r>
          </w:p>
        </w:tc>
      </w:tr>
      <w:tr w:rsidR="005670CA" w:rsidRPr="00252953" w:rsidTr="005A65D5">
        <w:trPr>
          <w:trHeight w:val="552"/>
        </w:trPr>
        <w:tc>
          <w:tcPr>
            <w:tcW w:w="2263" w:type="dxa"/>
            <w:vAlign w:val="center"/>
          </w:tcPr>
          <w:p w:rsidR="005670CA" w:rsidRPr="00252953" w:rsidRDefault="00B623AD" w:rsidP="004321DB">
            <w:pPr>
              <w:pStyle w:val="NoSpacing"/>
              <w:spacing w:line="276" w:lineRule="auto"/>
              <w:rPr>
                <w:rFonts w:ascii="Arial" w:hAnsi="Arial" w:cs="Arial"/>
                <w:sz w:val="22"/>
                <w:szCs w:val="22"/>
              </w:rPr>
            </w:pPr>
            <w:r w:rsidRPr="00252953">
              <w:rPr>
                <w:rFonts w:ascii="Arial" w:hAnsi="Arial" w:cs="Arial"/>
                <w:sz w:val="22"/>
                <w:szCs w:val="22"/>
              </w:rPr>
              <w:t>Revenue Support Grant</w:t>
            </w:r>
          </w:p>
        </w:tc>
        <w:tc>
          <w:tcPr>
            <w:tcW w:w="1350"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118.841</w:t>
            </w:r>
          </w:p>
        </w:tc>
        <w:tc>
          <w:tcPr>
            <w:tcW w:w="1351"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81.508</w:t>
            </w:r>
          </w:p>
        </w:tc>
        <w:tc>
          <w:tcPr>
            <w:tcW w:w="1350"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56.979</w:t>
            </w:r>
          </w:p>
        </w:tc>
        <w:tc>
          <w:tcPr>
            <w:tcW w:w="1351"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32.894</w:t>
            </w:r>
          </w:p>
        </w:tc>
        <w:tc>
          <w:tcPr>
            <w:tcW w:w="1351"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26.928</w:t>
            </w:r>
          </w:p>
        </w:tc>
      </w:tr>
      <w:tr w:rsidR="005670CA" w:rsidRPr="00252953" w:rsidTr="005A65D5">
        <w:trPr>
          <w:trHeight w:val="552"/>
        </w:trPr>
        <w:tc>
          <w:tcPr>
            <w:tcW w:w="2263" w:type="dxa"/>
            <w:vAlign w:val="center"/>
          </w:tcPr>
          <w:p w:rsidR="005670CA" w:rsidRPr="00252953" w:rsidRDefault="00B623AD" w:rsidP="004321DB">
            <w:pPr>
              <w:pStyle w:val="NoSpacing"/>
              <w:spacing w:line="276" w:lineRule="auto"/>
              <w:rPr>
                <w:rFonts w:ascii="Arial" w:hAnsi="Arial" w:cs="Arial"/>
                <w:sz w:val="22"/>
                <w:szCs w:val="22"/>
              </w:rPr>
            </w:pPr>
            <w:r w:rsidRPr="00252953">
              <w:rPr>
                <w:rFonts w:ascii="Arial" w:hAnsi="Arial" w:cs="Arial"/>
                <w:sz w:val="22"/>
                <w:szCs w:val="22"/>
              </w:rPr>
              <w:t>Business Rates</w:t>
            </w:r>
          </w:p>
        </w:tc>
        <w:tc>
          <w:tcPr>
            <w:tcW w:w="1350" w:type="dxa"/>
            <w:vAlign w:val="center"/>
          </w:tcPr>
          <w:p w:rsidR="005670CA" w:rsidRPr="00252953" w:rsidRDefault="0043791F" w:rsidP="004321DB">
            <w:pPr>
              <w:pStyle w:val="NoSpacing"/>
              <w:spacing w:line="276" w:lineRule="auto"/>
              <w:jc w:val="center"/>
              <w:rPr>
                <w:rFonts w:ascii="Arial" w:hAnsi="Arial" w:cs="Arial"/>
                <w:sz w:val="22"/>
                <w:szCs w:val="22"/>
              </w:rPr>
            </w:pPr>
            <w:r>
              <w:rPr>
                <w:rFonts w:ascii="Arial" w:hAnsi="Arial" w:cs="Arial"/>
                <w:sz w:val="22"/>
                <w:szCs w:val="22"/>
              </w:rPr>
              <w:t>177.985</w:t>
            </w:r>
          </w:p>
        </w:tc>
        <w:tc>
          <w:tcPr>
            <w:tcW w:w="1351" w:type="dxa"/>
            <w:vAlign w:val="center"/>
          </w:tcPr>
          <w:p w:rsidR="005670CA" w:rsidRPr="00252953" w:rsidRDefault="0043791F" w:rsidP="004321DB">
            <w:pPr>
              <w:pStyle w:val="NoSpacing"/>
              <w:spacing w:line="276" w:lineRule="auto"/>
              <w:jc w:val="center"/>
              <w:rPr>
                <w:rFonts w:ascii="Arial" w:hAnsi="Arial" w:cs="Arial"/>
                <w:sz w:val="22"/>
                <w:szCs w:val="22"/>
              </w:rPr>
            </w:pPr>
            <w:r>
              <w:rPr>
                <w:rFonts w:ascii="Arial" w:hAnsi="Arial" w:cs="Arial"/>
                <w:sz w:val="22"/>
                <w:szCs w:val="22"/>
              </w:rPr>
              <w:t>179.418</w:t>
            </w:r>
          </w:p>
        </w:tc>
        <w:tc>
          <w:tcPr>
            <w:tcW w:w="1350"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185.508</w:t>
            </w:r>
          </w:p>
        </w:tc>
        <w:tc>
          <w:tcPr>
            <w:tcW w:w="1351"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190.480</w:t>
            </w:r>
          </w:p>
        </w:tc>
        <w:tc>
          <w:tcPr>
            <w:tcW w:w="1351" w:type="dxa"/>
            <w:vAlign w:val="center"/>
          </w:tcPr>
          <w:p w:rsidR="005670CA" w:rsidRPr="00252953" w:rsidRDefault="0043791F" w:rsidP="004321DB">
            <w:pPr>
              <w:pStyle w:val="NoSpacing"/>
              <w:spacing w:line="276" w:lineRule="auto"/>
              <w:jc w:val="center"/>
              <w:rPr>
                <w:rFonts w:ascii="Arial" w:hAnsi="Arial" w:cs="Arial"/>
                <w:sz w:val="22"/>
                <w:szCs w:val="22"/>
              </w:rPr>
            </w:pPr>
            <w:r>
              <w:rPr>
                <w:rFonts w:ascii="Arial" w:hAnsi="Arial" w:cs="Arial"/>
                <w:sz w:val="22"/>
                <w:szCs w:val="22"/>
              </w:rPr>
              <w:t>195.569</w:t>
            </w:r>
          </w:p>
        </w:tc>
      </w:tr>
      <w:tr w:rsidR="005670CA" w:rsidRPr="00252953" w:rsidTr="005A65D5">
        <w:trPr>
          <w:trHeight w:val="552"/>
        </w:trPr>
        <w:tc>
          <w:tcPr>
            <w:tcW w:w="2263" w:type="dxa"/>
            <w:vAlign w:val="center"/>
          </w:tcPr>
          <w:p w:rsidR="005670CA" w:rsidRPr="00252953" w:rsidRDefault="00B623AD" w:rsidP="004321DB">
            <w:pPr>
              <w:pStyle w:val="NoSpacing"/>
              <w:spacing w:line="276" w:lineRule="auto"/>
              <w:rPr>
                <w:rFonts w:ascii="Arial" w:hAnsi="Arial" w:cs="Arial"/>
                <w:sz w:val="22"/>
                <w:szCs w:val="22"/>
              </w:rPr>
            </w:pPr>
            <w:r w:rsidRPr="00252953">
              <w:rPr>
                <w:rFonts w:ascii="Arial" w:hAnsi="Arial" w:cs="Arial"/>
                <w:sz w:val="22"/>
                <w:szCs w:val="22"/>
              </w:rPr>
              <w:t>Council Tax</w:t>
            </w:r>
          </w:p>
        </w:tc>
        <w:tc>
          <w:tcPr>
            <w:tcW w:w="1350"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404.349</w:t>
            </w:r>
          </w:p>
        </w:tc>
        <w:tc>
          <w:tcPr>
            <w:tcW w:w="1351" w:type="dxa"/>
            <w:vAlign w:val="center"/>
          </w:tcPr>
          <w:p w:rsidR="005670CA" w:rsidRPr="00252953" w:rsidRDefault="0043791F" w:rsidP="004321DB">
            <w:pPr>
              <w:pStyle w:val="NoSpacing"/>
              <w:spacing w:line="276" w:lineRule="auto"/>
              <w:jc w:val="center"/>
              <w:rPr>
                <w:rFonts w:ascii="Arial" w:hAnsi="Arial" w:cs="Arial"/>
                <w:sz w:val="22"/>
                <w:szCs w:val="22"/>
              </w:rPr>
            </w:pPr>
            <w:r>
              <w:rPr>
                <w:rFonts w:ascii="Arial" w:hAnsi="Arial" w:cs="Arial"/>
                <w:sz w:val="22"/>
                <w:szCs w:val="22"/>
              </w:rPr>
              <w:t>406.52</w:t>
            </w:r>
            <w:r w:rsidR="00B623AD" w:rsidRPr="00252953">
              <w:rPr>
                <w:rFonts w:ascii="Arial" w:hAnsi="Arial" w:cs="Arial"/>
                <w:sz w:val="22"/>
                <w:szCs w:val="22"/>
              </w:rPr>
              <w:t>9</w:t>
            </w:r>
          </w:p>
        </w:tc>
        <w:tc>
          <w:tcPr>
            <w:tcW w:w="1350"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407.543</w:t>
            </w:r>
          </w:p>
        </w:tc>
        <w:tc>
          <w:tcPr>
            <w:tcW w:w="1351"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408.562</w:t>
            </w:r>
          </w:p>
        </w:tc>
        <w:tc>
          <w:tcPr>
            <w:tcW w:w="1351"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409.584</w:t>
            </w:r>
          </w:p>
        </w:tc>
      </w:tr>
      <w:tr w:rsidR="005670CA" w:rsidRPr="00252953" w:rsidTr="005A65D5">
        <w:trPr>
          <w:trHeight w:val="552"/>
        </w:trPr>
        <w:tc>
          <w:tcPr>
            <w:tcW w:w="2263" w:type="dxa"/>
            <w:vAlign w:val="center"/>
          </w:tcPr>
          <w:p w:rsidR="005670CA" w:rsidRPr="00252953" w:rsidRDefault="00B623AD" w:rsidP="004321DB">
            <w:pPr>
              <w:pStyle w:val="NoSpacing"/>
              <w:spacing w:line="276" w:lineRule="auto"/>
              <w:rPr>
                <w:rFonts w:ascii="Arial" w:hAnsi="Arial" w:cs="Arial"/>
                <w:sz w:val="22"/>
                <w:szCs w:val="22"/>
              </w:rPr>
            </w:pPr>
            <w:r w:rsidRPr="00252953">
              <w:rPr>
                <w:rFonts w:ascii="Arial" w:hAnsi="Arial" w:cs="Arial"/>
                <w:sz w:val="22"/>
                <w:szCs w:val="22"/>
              </w:rPr>
              <w:t>New Homes Bonus</w:t>
            </w:r>
          </w:p>
        </w:tc>
        <w:tc>
          <w:tcPr>
            <w:tcW w:w="1350"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5.083</w:t>
            </w:r>
          </w:p>
        </w:tc>
        <w:tc>
          <w:tcPr>
            <w:tcW w:w="1351" w:type="dxa"/>
            <w:vAlign w:val="center"/>
          </w:tcPr>
          <w:p w:rsidR="005670CA" w:rsidRPr="00252953" w:rsidRDefault="0043791F" w:rsidP="004321DB">
            <w:pPr>
              <w:pStyle w:val="NoSpacing"/>
              <w:spacing w:line="276" w:lineRule="auto"/>
              <w:jc w:val="center"/>
              <w:rPr>
                <w:rFonts w:ascii="Arial" w:hAnsi="Arial" w:cs="Arial"/>
                <w:sz w:val="22"/>
                <w:szCs w:val="22"/>
              </w:rPr>
            </w:pPr>
            <w:r>
              <w:rPr>
                <w:rFonts w:ascii="Arial" w:hAnsi="Arial" w:cs="Arial"/>
                <w:sz w:val="22"/>
                <w:szCs w:val="22"/>
              </w:rPr>
              <w:t>5.530</w:t>
            </w:r>
          </w:p>
        </w:tc>
        <w:tc>
          <w:tcPr>
            <w:tcW w:w="1350"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3.475</w:t>
            </w:r>
          </w:p>
        </w:tc>
        <w:tc>
          <w:tcPr>
            <w:tcW w:w="1351"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3.334</w:t>
            </w:r>
          </w:p>
        </w:tc>
        <w:tc>
          <w:tcPr>
            <w:tcW w:w="1351" w:type="dxa"/>
            <w:vAlign w:val="center"/>
          </w:tcPr>
          <w:p w:rsidR="005670CA"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3.334</w:t>
            </w:r>
          </w:p>
        </w:tc>
      </w:tr>
      <w:tr w:rsidR="00B623AD" w:rsidRPr="00252953" w:rsidTr="005A65D5">
        <w:trPr>
          <w:trHeight w:val="552"/>
        </w:trPr>
        <w:tc>
          <w:tcPr>
            <w:tcW w:w="2263" w:type="dxa"/>
            <w:vAlign w:val="center"/>
          </w:tcPr>
          <w:p w:rsidR="00B623AD" w:rsidRPr="00252953" w:rsidRDefault="00B623AD" w:rsidP="004321DB">
            <w:pPr>
              <w:pStyle w:val="NoSpacing"/>
              <w:spacing w:line="276" w:lineRule="auto"/>
              <w:rPr>
                <w:rFonts w:ascii="Arial" w:hAnsi="Arial" w:cs="Arial"/>
                <w:sz w:val="22"/>
                <w:szCs w:val="22"/>
              </w:rPr>
            </w:pPr>
            <w:r w:rsidRPr="00252953">
              <w:rPr>
                <w:rFonts w:ascii="Arial" w:hAnsi="Arial" w:cs="Arial"/>
                <w:sz w:val="22"/>
                <w:szCs w:val="22"/>
              </w:rPr>
              <w:t>Better Care Fund</w:t>
            </w:r>
          </w:p>
        </w:tc>
        <w:tc>
          <w:tcPr>
            <w:tcW w:w="1350" w:type="dxa"/>
            <w:vAlign w:val="center"/>
          </w:tcPr>
          <w:p w:rsidR="00B623AD" w:rsidRPr="00252953" w:rsidRDefault="00B623AD" w:rsidP="004321DB">
            <w:pPr>
              <w:pStyle w:val="NoSpacing"/>
              <w:spacing w:line="276" w:lineRule="auto"/>
              <w:jc w:val="center"/>
              <w:rPr>
                <w:rFonts w:ascii="Arial" w:hAnsi="Arial" w:cs="Arial"/>
                <w:sz w:val="22"/>
                <w:szCs w:val="22"/>
              </w:rPr>
            </w:pPr>
            <w:r w:rsidRPr="00252953">
              <w:rPr>
                <w:rFonts w:ascii="Arial" w:hAnsi="Arial" w:cs="Arial"/>
                <w:sz w:val="22"/>
                <w:szCs w:val="22"/>
              </w:rPr>
              <w:t>0</w:t>
            </w:r>
          </w:p>
        </w:tc>
        <w:tc>
          <w:tcPr>
            <w:tcW w:w="1351" w:type="dxa"/>
            <w:vAlign w:val="center"/>
          </w:tcPr>
          <w:p w:rsidR="00B623AD" w:rsidRPr="00252953" w:rsidRDefault="00236EFC" w:rsidP="004321DB">
            <w:pPr>
              <w:pStyle w:val="NoSpacing"/>
              <w:spacing w:line="276" w:lineRule="auto"/>
              <w:jc w:val="center"/>
              <w:rPr>
                <w:rFonts w:ascii="Arial" w:hAnsi="Arial" w:cs="Arial"/>
                <w:sz w:val="22"/>
                <w:szCs w:val="22"/>
              </w:rPr>
            </w:pPr>
            <w:r w:rsidRPr="00252953">
              <w:rPr>
                <w:rFonts w:ascii="Arial" w:hAnsi="Arial" w:cs="Arial"/>
                <w:sz w:val="22"/>
                <w:szCs w:val="22"/>
              </w:rPr>
              <w:t>3.210</w:t>
            </w:r>
          </w:p>
        </w:tc>
        <w:tc>
          <w:tcPr>
            <w:tcW w:w="1350" w:type="dxa"/>
            <w:vAlign w:val="center"/>
          </w:tcPr>
          <w:p w:rsidR="00B623AD" w:rsidRPr="00252953" w:rsidRDefault="00236EFC" w:rsidP="004321DB">
            <w:pPr>
              <w:pStyle w:val="NoSpacing"/>
              <w:spacing w:line="276" w:lineRule="auto"/>
              <w:jc w:val="center"/>
              <w:rPr>
                <w:rFonts w:ascii="Arial" w:hAnsi="Arial" w:cs="Arial"/>
                <w:sz w:val="22"/>
                <w:szCs w:val="22"/>
              </w:rPr>
            </w:pPr>
            <w:r w:rsidRPr="00252953">
              <w:rPr>
                <w:rFonts w:ascii="Arial" w:hAnsi="Arial" w:cs="Arial"/>
                <w:sz w:val="22"/>
                <w:szCs w:val="22"/>
              </w:rPr>
              <w:t>22.656</w:t>
            </w:r>
          </w:p>
        </w:tc>
        <w:tc>
          <w:tcPr>
            <w:tcW w:w="1351" w:type="dxa"/>
            <w:vAlign w:val="center"/>
          </w:tcPr>
          <w:p w:rsidR="00B623AD" w:rsidRPr="00252953" w:rsidRDefault="00236EFC" w:rsidP="004321DB">
            <w:pPr>
              <w:pStyle w:val="NoSpacing"/>
              <w:spacing w:line="276" w:lineRule="auto"/>
              <w:jc w:val="center"/>
              <w:rPr>
                <w:rFonts w:ascii="Arial" w:hAnsi="Arial" w:cs="Arial"/>
                <w:sz w:val="22"/>
                <w:szCs w:val="22"/>
              </w:rPr>
            </w:pPr>
            <w:r w:rsidRPr="00252953">
              <w:rPr>
                <w:rFonts w:ascii="Arial" w:hAnsi="Arial" w:cs="Arial"/>
                <w:sz w:val="22"/>
                <w:szCs w:val="22"/>
              </w:rPr>
              <w:t>40.014</w:t>
            </w:r>
          </w:p>
        </w:tc>
        <w:tc>
          <w:tcPr>
            <w:tcW w:w="1351" w:type="dxa"/>
            <w:vAlign w:val="center"/>
          </w:tcPr>
          <w:p w:rsidR="00B623AD" w:rsidRPr="00252953" w:rsidRDefault="00236EFC" w:rsidP="004321DB">
            <w:pPr>
              <w:pStyle w:val="NoSpacing"/>
              <w:spacing w:line="276" w:lineRule="auto"/>
              <w:jc w:val="center"/>
              <w:rPr>
                <w:rFonts w:ascii="Arial" w:hAnsi="Arial" w:cs="Arial"/>
                <w:sz w:val="22"/>
                <w:szCs w:val="22"/>
              </w:rPr>
            </w:pPr>
            <w:r w:rsidRPr="00252953">
              <w:rPr>
                <w:rFonts w:ascii="Arial" w:hAnsi="Arial" w:cs="Arial"/>
                <w:sz w:val="22"/>
                <w:szCs w:val="22"/>
              </w:rPr>
              <w:t>40.014</w:t>
            </w:r>
          </w:p>
        </w:tc>
      </w:tr>
      <w:tr w:rsidR="00B623AD" w:rsidRPr="00252953" w:rsidTr="005A65D5">
        <w:trPr>
          <w:trHeight w:val="552"/>
        </w:trPr>
        <w:tc>
          <w:tcPr>
            <w:tcW w:w="2263" w:type="dxa"/>
            <w:vAlign w:val="center"/>
          </w:tcPr>
          <w:p w:rsidR="00B623AD" w:rsidRPr="00252953" w:rsidRDefault="00B623AD" w:rsidP="004321DB">
            <w:pPr>
              <w:pStyle w:val="NoSpacing"/>
              <w:spacing w:line="276" w:lineRule="auto"/>
              <w:rPr>
                <w:rFonts w:ascii="Arial" w:hAnsi="Arial" w:cs="Arial"/>
                <w:sz w:val="22"/>
                <w:szCs w:val="22"/>
              </w:rPr>
            </w:pPr>
            <w:r w:rsidRPr="00252953">
              <w:rPr>
                <w:rFonts w:ascii="Arial" w:hAnsi="Arial" w:cs="Arial"/>
                <w:sz w:val="22"/>
                <w:szCs w:val="22"/>
              </w:rPr>
              <w:t>Capital receipts</w:t>
            </w:r>
          </w:p>
        </w:tc>
        <w:tc>
          <w:tcPr>
            <w:tcW w:w="1350" w:type="dxa"/>
            <w:vAlign w:val="center"/>
          </w:tcPr>
          <w:p w:rsidR="00B623AD" w:rsidRPr="00252953" w:rsidRDefault="00236EFC" w:rsidP="004321DB">
            <w:pPr>
              <w:pStyle w:val="NoSpacing"/>
              <w:spacing w:line="276" w:lineRule="auto"/>
              <w:jc w:val="center"/>
              <w:rPr>
                <w:rFonts w:ascii="Arial" w:hAnsi="Arial" w:cs="Arial"/>
                <w:sz w:val="22"/>
                <w:szCs w:val="22"/>
              </w:rPr>
            </w:pPr>
            <w:r w:rsidRPr="00252953">
              <w:rPr>
                <w:rFonts w:ascii="Arial" w:hAnsi="Arial" w:cs="Arial"/>
                <w:sz w:val="22"/>
                <w:szCs w:val="22"/>
              </w:rPr>
              <w:t>5.000</w:t>
            </w:r>
          </w:p>
        </w:tc>
        <w:tc>
          <w:tcPr>
            <w:tcW w:w="1351" w:type="dxa"/>
            <w:vAlign w:val="center"/>
          </w:tcPr>
          <w:p w:rsidR="00B623AD" w:rsidRPr="00252953" w:rsidRDefault="00236EFC" w:rsidP="004321DB">
            <w:pPr>
              <w:pStyle w:val="NoSpacing"/>
              <w:spacing w:line="276" w:lineRule="auto"/>
              <w:jc w:val="center"/>
              <w:rPr>
                <w:rFonts w:ascii="Arial" w:hAnsi="Arial" w:cs="Arial"/>
                <w:sz w:val="22"/>
                <w:szCs w:val="22"/>
              </w:rPr>
            </w:pPr>
            <w:r w:rsidRPr="00252953">
              <w:rPr>
                <w:rFonts w:ascii="Arial" w:hAnsi="Arial" w:cs="Arial"/>
                <w:sz w:val="22"/>
                <w:szCs w:val="22"/>
              </w:rPr>
              <w:t>12.500</w:t>
            </w:r>
          </w:p>
        </w:tc>
        <w:tc>
          <w:tcPr>
            <w:tcW w:w="1350" w:type="dxa"/>
            <w:vAlign w:val="center"/>
          </w:tcPr>
          <w:p w:rsidR="00B623AD" w:rsidRPr="00252953" w:rsidRDefault="00236EFC" w:rsidP="004321DB">
            <w:pPr>
              <w:pStyle w:val="NoSpacing"/>
              <w:spacing w:line="276" w:lineRule="auto"/>
              <w:jc w:val="center"/>
              <w:rPr>
                <w:rFonts w:ascii="Arial" w:hAnsi="Arial" w:cs="Arial"/>
                <w:sz w:val="22"/>
                <w:szCs w:val="22"/>
              </w:rPr>
            </w:pPr>
            <w:r w:rsidRPr="00252953">
              <w:rPr>
                <w:rFonts w:ascii="Arial" w:hAnsi="Arial" w:cs="Arial"/>
                <w:sz w:val="22"/>
                <w:szCs w:val="22"/>
              </w:rPr>
              <w:t>5.000</w:t>
            </w:r>
          </w:p>
        </w:tc>
        <w:tc>
          <w:tcPr>
            <w:tcW w:w="1351" w:type="dxa"/>
            <w:vAlign w:val="center"/>
          </w:tcPr>
          <w:p w:rsidR="00B623AD" w:rsidRPr="00252953" w:rsidRDefault="006C35D4" w:rsidP="004321DB">
            <w:pPr>
              <w:pStyle w:val="NoSpacing"/>
              <w:spacing w:line="276" w:lineRule="auto"/>
              <w:jc w:val="center"/>
              <w:rPr>
                <w:rFonts w:ascii="Arial" w:hAnsi="Arial" w:cs="Arial"/>
                <w:sz w:val="22"/>
                <w:szCs w:val="22"/>
              </w:rPr>
            </w:pPr>
            <w:r w:rsidRPr="00252953">
              <w:rPr>
                <w:rFonts w:ascii="Arial" w:hAnsi="Arial" w:cs="Arial"/>
                <w:sz w:val="22"/>
                <w:szCs w:val="22"/>
              </w:rPr>
              <w:t>0.000</w:t>
            </w:r>
          </w:p>
        </w:tc>
        <w:tc>
          <w:tcPr>
            <w:tcW w:w="1351" w:type="dxa"/>
            <w:vAlign w:val="center"/>
          </w:tcPr>
          <w:p w:rsidR="00B623AD" w:rsidRPr="00252953" w:rsidRDefault="006C35D4" w:rsidP="004321DB">
            <w:pPr>
              <w:pStyle w:val="NoSpacing"/>
              <w:spacing w:line="276" w:lineRule="auto"/>
              <w:jc w:val="center"/>
              <w:rPr>
                <w:rFonts w:ascii="Arial" w:hAnsi="Arial" w:cs="Arial"/>
                <w:sz w:val="22"/>
                <w:szCs w:val="22"/>
              </w:rPr>
            </w:pPr>
            <w:r w:rsidRPr="00252953">
              <w:rPr>
                <w:rFonts w:ascii="Arial" w:hAnsi="Arial" w:cs="Arial"/>
                <w:sz w:val="22"/>
                <w:szCs w:val="22"/>
              </w:rPr>
              <w:t>0.000</w:t>
            </w:r>
          </w:p>
        </w:tc>
      </w:tr>
      <w:tr w:rsidR="00B623AD" w:rsidRPr="00252953" w:rsidTr="005A65D5">
        <w:trPr>
          <w:trHeight w:val="552"/>
        </w:trPr>
        <w:tc>
          <w:tcPr>
            <w:tcW w:w="2263" w:type="dxa"/>
            <w:vAlign w:val="center"/>
          </w:tcPr>
          <w:p w:rsidR="00B623AD" w:rsidRPr="00252953" w:rsidRDefault="00B623AD" w:rsidP="004321DB">
            <w:pPr>
              <w:pStyle w:val="NoSpacing"/>
              <w:spacing w:line="276" w:lineRule="auto"/>
              <w:jc w:val="both"/>
              <w:rPr>
                <w:rFonts w:ascii="Arial" w:hAnsi="Arial" w:cs="Arial"/>
                <w:b/>
                <w:sz w:val="22"/>
                <w:szCs w:val="22"/>
              </w:rPr>
            </w:pPr>
            <w:r w:rsidRPr="00252953">
              <w:rPr>
                <w:rFonts w:ascii="Arial" w:hAnsi="Arial" w:cs="Arial"/>
                <w:b/>
                <w:sz w:val="22"/>
                <w:szCs w:val="22"/>
              </w:rPr>
              <w:t>Total</w:t>
            </w:r>
          </w:p>
        </w:tc>
        <w:tc>
          <w:tcPr>
            <w:tcW w:w="1350" w:type="dxa"/>
            <w:vAlign w:val="center"/>
          </w:tcPr>
          <w:p w:rsidR="00B623AD" w:rsidRPr="00252953" w:rsidRDefault="00B623AD" w:rsidP="004321DB">
            <w:pPr>
              <w:spacing w:line="276" w:lineRule="auto"/>
              <w:jc w:val="center"/>
              <w:rPr>
                <w:rFonts w:cs="Arial"/>
                <w:b/>
                <w:sz w:val="22"/>
                <w:lang w:eastAsia="en-GB"/>
              </w:rPr>
            </w:pPr>
            <w:r w:rsidRPr="00252953">
              <w:rPr>
                <w:rFonts w:cs="Arial"/>
                <w:b/>
                <w:sz w:val="22"/>
                <w:lang w:eastAsia="en-GB"/>
              </w:rPr>
              <w:t>711.258</w:t>
            </w:r>
          </w:p>
        </w:tc>
        <w:tc>
          <w:tcPr>
            <w:tcW w:w="1351" w:type="dxa"/>
            <w:vAlign w:val="center"/>
          </w:tcPr>
          <w:p w:rsidR="00B623AD" w:rsidRPr="00252953" w:rsidRDefault="00B623AD" w:rsidP="004321DB">
            <w:pPr>
              <w:spacing w:line="276" w:lineRule="auto"/>
              <w:jc w:val="center"/>
              <w:rPr>
                <w:rFonts w:cs="Arial"/>
                <w:b/>
                <w:sz w:val="22"/>
                <w:lang w:eastAsia="en-GB"/>
              </w:rPr>
            </w:pPr>
            <w:r w:rsidRPr="00252953">
              <w:rPr>
                <w:rFonts w:cs="Arial"/>
                <w:b/>
                <w:sz w:val="22"/>
                <w:lang w:eastAsia="en-GB"/>
              </w:rPr>
              <w:t>688.695</w:t>
            </w:r>
          </w:p>
        </w:tc>
        <w:tc>
          <w:tcPr>
            <w:tcW w:w="1350" w:type="dxa"/>
            <w:vAlign w:val="center"/>
          </w:tcPr>
          <w:p w:rsidR="00B623AD" w:rsidRPr="00252953" w:rsidRDefault="00B623AD" w:rsidP="004321DB">
            <w:pPr>
              <w:spacing w:line="276" w:lineRule="auto"/>
              <w:jc w:val="center"/>
              <w:rPr>
                <w:rFonts w:cs="Arial"/>
                <w:b/>
                <w:sz w:val="22"/>
                <w:lang w:eastAsia="en-GB"/>
              </w:rPr>
            </w:pPr>
            <w:r w:rsidRPr="00252953">
              <w:rPr>
                <w:rFonts w:cs="Arial"/>
                <w:b/>
                <w:sz w:val="22"/>
                <w:lang w:eastAsia="en-GB"/>
              </w:rPr>
              <w:t>681.161</w:t>
            </w:r>
          </w:p>
        </w:tc>
        <w:tc>
          <w:tcPr>
            <w:tcW w:w="1351" w:type="dxa"/>
            <w:vAlign w:val="center"/>
          </w:tcPr>
          <w:p w:rsidR="00B623AD" w:rsidRPr="00252953" w:rsidRDefault="00B623AD" w:rsidP="004321DB">
            <w:pPr>
              <w:spacing w:line="276" w:lineRule="auto"/>
              <w:jc w:val="center"/>
              <w:rPr>
                <w:rFonts w:cs="Arial"/>
                <w:b/>
                <w:sz w:val="22"/>
                <w:lang w:eastAsia="en-GB"/>
              </w:rPr>
            </w:pPr>
            <w:r w:rsidRPr="00252953">
              <w:rPr>
                <w:rFonts w:cs="Arial"/>
                <w:b/>
                <w:sz w:val="22"/>
                <w:lang w:eastAsia="en-GB"/>
              </w:rPr>
              <w:t>675.284</w:t>
            </w:r>
          </w:p>
        </w:tc>
        <w:tc>
          <w:tcPr>
            <w:tcW w:w="1351" w:type="dxa"/>
            <w:vAlign w:val="center"/>
          </w:tcPr>
          <w:p w:rsidR="00B623AD" w:rsidRPr="00252953" w:rsidRDefault="00B623AD" w:rsidP="004321DB">
            <w:pPr>
              <w:spacing w:line="276" w:lineRule="auto"/>
              <w:jc w:val="center"/>
              <w:rPr>
                <w:rFonts w:cs="Arial"/>
                <w:b/>
                <w:sz w:val="22"/>
                <w:lang w:eastAsia="en-GB"/>
              </w:rPr>
            </w:pPr>
            <w:r w:rsidRPr="00252953">
              <w:rPr>
                <w:rFonts w:cs="Arial"/>
                <w:b/>
                <w:sz w:val="22"/>
                <w:lang w:eastAsia="en-GB"/>
              </w:rPr>
              <w:t>675.429</w:t>
            </w:r>
          </w:p>
        </w:tc>
      </w:tr>
    </w:tbl>
    <w:p w:rsidR="004C0F29" w:rsidRPr="005A65D5" w:rsidRDefault="004C0F29" w:rsidP="004321DB">
      <w:pPr>
        <w:pStyle w:val="NoSpacing"/>
        <w:spacing w:line="276" w:lineRule="auto"/>
        <w:jc w:val="both"/>
        <w:rPr>
          <w:rFonts w:ascii="Arial" w:hAnsi="Arial" w:cs="Arial"/>
        </w:rPr>
      </w:pPr>
    </w:p>
    <w:p w:rsidR="008107C5" w:rsidRDefault="008107C5" w:rsidP="004321DB">
      <w:pPr>
        <w:pStyle w:val="NoSpacing"/>
        <w:spacing w:line="276" w:lineRule="auto"/>
        <w:jc w:val="both"/>
        <w:rPr>
          <w:rFonts w:ascii="Arial" w:hAnsi="Arial" w:cs="Arial"/>
        </w:rPr>
      </w:pPr>
      <w:r w:rsidRPr="005A65D5">
        <w:rPr>
          <w:rFonts w:ascii="Arial" w:hAnsi="Arial" w:cs="Arial"/>
        </w:rPr>
        <w:t>These figures are subject to change once the final settlement is given and</w:t>
      </w:r>
      <w:r w:rsidR="0088407A" w:rsidRPr="005A65D5">
        <w:rPr>
          <w:rFonts w:ascii="Arial" w:hAnsi="Arial" w:cs="Arial"/>
        </w:rPr>
        <w:t xml:space="preserve"> will be adjusted for the impact of </w:t>
      </w:r>
      <w:r w:rsidRPr="005A65D5">
        <w:rPr>
          <w:rFonts w:ascii="Arial" w:hAnsi="Arial" w:cs="Arial"/>
        </w:rPr>
        <w:t xml:space="preserve">the </w:t>
      </w:r>
      <w:r w:rsidR="0088407A" w:rsidRPr="005A65D5">
        <w:rPr>
          <w:rFonts w:ascii="Arial" w:hAnsi="Arial" w:cs="Arial"/>
        </w:rPr>
        <w:t xml:space="preserve">final </w:t>
      </w:r>
      <w:r w:rsidRPr="005A65D5">
        <w:rPr>
          <w:rFonts w:ascii="Arial" w:hAnsi="Arial" w:cs="Arial"/>
        </w:rPr>
        <w:t>Council Tax</w:t>
      </w:r>
      <w:r w:rsidR="00EC11C4" w:rsidRPr="005A65D5">
        <w:rPr>
          <w:rFonts w:ascii="Arial" w:hAnsi="Arial" w:cs="Arial"/>
        </w:rPr>
        <w:t xml:space="preserve"> </w:t>
      </w:r>
      <w:r w:rsidRPr="005A65D5">
        <w:rPr>
          <w:rFonts w:ascii="Arial" w:hAnsi="Arial" w:cs="Arial"/>
        </w:rPr>
        <w:t xml:space="preserve">base figures </w:t>
      </w:r>
      <w:r w:rsidR="0088407A" w:rsidRPr="005A65D5">
        <w:rPr>
          <w:rFonts w:ascii="Arial" w:hAnsi="Arial" w:cs="Arial"/>
        </w:rPr>
        <w:t>a</w:t>
      </w:r>
      <w:r w:rsidRPr="005A65D5">
        <w:rPr>
          <w:rFonts w:ascii="Arial" w:hAnsi="Arial" w:cs="Arial"/>
        </w:rPr>
        <w:t>s</w:t>
      </w:r>
      <w:r w:rsidR="0088407A" w:rsidRPr="005A65D5">
        <w:rPr>
          <w:rFonts w:ascii="Arial" w:hAnsi="Arial" w:cs="Arial"/>
        </w:rPr>
        <w:t xml:space="preserve"> discussed below</w:t>
      </w:r>
      <w:r w:rsidRPr="005A65D5">
        <w:rPr>
          <w:rFonts w:ascii="Arial" w:hAnsi="Arial" w:cs="Arial"/>
        </w:rPr>
        <w:t>.</w:t>
      </w:r>
    </w:p>
    <w:p w:rsidR="0043791F" w:rsidRDefault="0043791F">
      <w:pPr>
        <w:rPr>
          <w:rFonts w:cs="Arial"/>
          <w:szCs w:val="24"/>
        </w:rPr>
      </w:pPr>
      <w:r>
        <w:rPr>
          <w:rFonts w:cs="Arial"/>
        </w:rPr>
        <w:br w:type="page"/>
      </w:r>
    </w:p>
    <w:p w:rsidR="00FF5809" w:rsidRDefault="00AE3E3C" w:rsidP="004321DB">
      <w:pPr>
        <w:spacing w:after="0"/>
        <w:jc w:val="both"/>
        <w:rPr>
          <w:rFonts w:cs="Arial"/>
          <w:i/>
          <w:szCs w:val="24"/>
        </w:rPr>
      </w:pPr>
      <w:r w:rsidRPr="005A65D5">
        <w:rPr>
          <w:rFonts w:cs="Arial"/>
          <w:i/>
          <w:szCs w:val="24"/>
        </w:rPr>
        <w:lastRenderedPageBreak/>
        <w:t>5</w:t>
      </w:r>
      <w:r w:rsidR="00317423">
        <w:rPr>
          <w:rFonts w:cs="Arial"/>
          <w:i/>
          <w:szCs w:val="24"/>
        </w:rPr>
        <w:t xml:space="preserve">.1 </w:t>
      </w:r>
      <w:r w:rsidR="00FF5809" w:rsidRPr="005A65D5">
        <w:rPr>
          <w:rFonts w:cs="Arial"/>
          <w:i/>
          <w:szCs w:val="24"/>
        </w:rPr>
        <w:t xml:space="preserve">The resources received through the Local </w:t>
      </w:r>
      <w:r w:rsidR="007A02AF">
        <w:rPr>
          <w:rFonts w:cs="Arial"/>
          <w:i/>
          <w:szCs w:val="24"/>
        </w:rPr>
        <w:t>Government Finance Settlement</w:t>
      </w:r>
    </w:p>
    <w:p w:rsidR="007A02AF" w:rsidRPr="005A65D5" w:rsidRDefault="007A02AF" w:rsidP="004321DB">
      <w:pPr>
        <w:spacing w:after="0"/>
        <w:jc w:val="both"/>
        <w:rPr>
          <w:rFonts w:cs="Arial"/>
          <w:i/>
          <w:szCs w:val="24"/>
        </w:rPr>
      </w:pPr>
    </w:p>
    <w:p w:rsidR="00947699" w:rsidRPr="005A65D5" w:rsidRDefault="00FF5809" w:rsidP="004321DB">
      <w:pPr>
        <w:spacing w:after="0"/>
        <w:jc w:val="both"/>
        <w:rPr>
          <w:rFonts w:cs="Arial"/>
          <w:szCs w:val="24"/>
        </w:rPr>
      </w:pPr>
      <w:r w:rsidRPr="005A65D5">
        <w:rPr>
          <w:rFonts w:cs="Arial"/>
          <w:szCs w:val="24"/>
        </w:rPr>
        <w:t xml:space="preserve">The </w:t>
      </w:r>
      <w:r w:rsidR="00236EFC" w:rsidRPr="005A65D5">
        <w:rPr>
          <w:rFonts w:cs="Arial"/>
          <w:szCs w:val="24"/>
        </w:rPr>
        <w:t>Provisional</w:t>
      </w:r>
      <w:r w:rsidRPr="005A65D5">
        <w:rPr>
          <w:rFonts w:cs="Arial"/>
          <w:szCs w:val="24"/>
        </w:rPr>
        <w:t xml:space="preserve"> </w:t>
      </w:r>
      <w:r w:rsidR="00236EFC" w:rsidRPr="005A65D5">
        <w:rPr>
          <w:rFonts w:cs="Arial"/>
          <w:szCs w:val="24"/>
        </w:rPr>
        <w:t>S</w:t>
      </w:r>
      <w:r w:rsidRPr="005A65D5">
        <w:rPr>
          <w:rFonts w:cs="Arial"/>
          <w:szCs w:val="24"/>
        </w:rPr>
        <w:t>ettlement was announced o</w:t>
      </w:r>
      <w:r w:rsidR="00DD20CF" w:rsidRPr="005A65D5">
        <w:rPr>
          <w:rFonts w:cs="Arial"/>
          <w:szCs w:val="24"/>
        </w:rPr>
        <w:t xml:space="preserve">n </w:t>
      </w:r>
      <w:r w:rsidR="00236EFC" w:rsidRPr="005A65D5">
        <w:rPr>
          <w:rFonts w:cs="Arial"/>
          <w:szCs w:val="24"/>
        </w:rPr>
        <w:t>17</w:t>
      </w:r>
      <w:r w:rsidR="00236EFC" w:rsidRPr="005A65D5">
        <w:rPr>
          <w:rFonts w:cs="Arial"/>
          <w:szCs w:val="24"/>
          <w:vertAlign w:val="superscript"/>
        </w:rPr>
        <w:t>th</w:t>
      </w:r>
      <w:r w:rsidR="00236EFC" w:rsidRPr="005A65D5">
        <w:rPr>
          <w:rFonts w:cs="Arial"/>
          <w:szCs w:val="24"/>
        </w:rPr>
        <w:t xml:space="preserve"> December 2015 </w:t>
      </w:r>
      <w:r w:rsidRPr="005A65D5">
        <w:rPr>
          <w:rFonts w:cs="Arial"/>
          <w:szCs w:val="24"/>
        </w:rPr>
        <w:t xml:space="preserve">and </w:t>
      </w:r>
      <w:r w:rsidR="001B12BE" w:rsidRPr="005A65D5">
        <w:rPr>
          <w:rFonts w:cs="Arial"/>
          <w:szCs w:val="24"/>
        </w:rPr>
        <w:t xml:space="preserve">identified a level of resource </w:t>
      </w:r>
      <w:r w:rsidR="00F06710" w:rsidRPr="005A65D5">
        <w:rPr>
          <w:rFonts w:cs="Arial"/>
          <w:szCs w:val="24"/>
        </w:rPr>
        <w:t>t</w:t>
      </w:r>
      <w:r w:rsidR="001B12BE" w:rsidRPr="005A65D5">
        <w:rPr>
          <w:rFonts w:cs="Arial"/>
          <w:szCs w:val="24"/>
        </w:rPr>
        <w:t xml:space="preserve">hat was </w:t>
      </w:r>
      <w:r w:rsidR="00236EFC" w:rsidRPr="005A65D5">
        <w:rPr>
          <w:rFonts w:cs="Arial"/>
          <w:szCs w:val="24"/>
        </w:rPr>
        <w:t>less than anticipated. The provisional settlement figures are reflected in the</w:t>
      </w:r>
      <w:r w:rsidR="00D75FD2" w:rsidRPr="005A65D5">
        <w:rPr>
          <w:rFonts w:cs="Arial"/>
          <w:szCs w:val="24"/>
        </w:rPr>
        <w:t xml:space="preserve"> table above and </w:t>
      </w:r>
      <w:r w:rsidR="00892B9B">
        <w:rPr>
          <w:rFonts w:cs="Arial"/>
          <w:szCs w:val="24"/>
        </w:rPr>
        <w:t xml:space="preserve">within </w:t>
      </w:r>
      <w:r w:rsidR="00D75FD2" w:rsidRPr="005A65D5">
        <w:rPr>
          <w:rFonts w:cs="Arial"/>
          <w:szCs w:val="24"/>
        </w:rPr>
        <w:t>the</w:t>
      </w:r>
      <w:r w:rsidR="00236EFC" w:rsidRPr="005A65D5">
        <w:rPr>
          <w:rFonts w:cs="Arial"/>
          <w:szCs w:val="24"/>
        </w:rPr>
        <w:t xml:space="preserve"> MTFS. </w:t>
      </w:r>
      <w:r w:rsidR="00D75FD2" w:rsidRPr="005A65D5">
        <w:rPr>
          <w:rFonts w:cs="Arial"/>
          <w:szCs w:val="24"/>
        </w:rPr>
        <w:t xml:space="preserve">The Settlement provided allocation on RSG, </w:t>
      </w:r>
      <w:r w:rsidR="00351D95">
        <w:rPr>
          <w:rFonts w:cs="Arial"/>
          <w:szCs w:val="24"/>
        </w:rPr>
        <w:t>B</w:t>
      </w:r>
      <w:r w:rsidR="00D75FD2" w:rsidRPr="005A65D5">
        <w:rPr>
          <w:rFonts w:cs="Arial"/>
          <w:szCs w:val="24"/>
        </w:rPr>
        <w:t xml:space="preserve">usiness </w:t>
      </w:r>
      <w:r w:rsidR="00351D95">
        <w:rPr>
          <w:rFonts w:cs="Arial"/>
          <w:szCs w:val="24"/>
        </w:rPr>
        <w:t>R</w:t>
      </w:r>
      <w:r w:rsidR="00D75FD2" w:rsidRPr="005A65D5">
        <w:rPr>
          <w:rFonts w:cs="Arial"/>
          <w:szCs w:val="24"/>
        </w:rPr>
        <w:t>ates baseline information and New Homes Bonus.</w:t>
      </w:r>
    </w:p>
    <w:p w:rsidR="00B55353" w:rsidRPr="005A65D5" w:rsidRDefault="00B55353" w:rsidP="004321DB">
      <w:pPr>
        <w:pStyle w:val="NoSpacing"/>
        <w:spacing w:line="276" w:lineRule="auto"/>
        <w:jc w:val="both"/>
        <w:rPr>
          <w:rFonts w:ascii="Arial" w:hAnsi="Arial" w:cs="Arial"/>
        </w:rPr>
      </w:pPr>
    </w:p>
    <w:p w:rsidR="00FF5809" w:rsidRPr="005A65D5" w:rsidRDefault="00AE3E3C" w:rsidP="004321DB">
      <w:pPr>
        <w:pStyle w:val="Heading2"/>
        <w:spacing w:line="276" w:lineRule="auto"/>
        <w:jc w:val="both"/>
        <w:rPr>
          <w:b w:val="0"/>
        </w:rPr>
      </w:pPr>
      <w:r w:rsidRPr="005A65D5">
        <w:rPr>
          <w:b w:val="0"/>
        </w:rPr>
        <w:t>5</w:t>
      </w:r>
      <w:r w:rsidR="00FF5809" w:rsidRPr="005A65D5">
        <w:rPr>
          <w:b w:val="0"/>
        </w:rPr>
        <w:t>.</w:t>
      </w:r>
      <w:r w:rsidR="00683F8E" w:rsidRPr="005A65D5">
        <w:rPr>
          <w:b w:val="0"/>
        </w:rPr>
        <w:t>2</w:t>
      </w:r>
      <w:r w:rsidR="00317423">
        <w:rPr>
          <w:b w:val="0"/>
        </w:rPr>
        <w:t xml:space="preserve"> </w:t>
      </w:r>
      <w:r w:rsidR="00FF5809" w:rsidRPr="005A65D5">
        <w:rPr>
          <w:b w:val="0"/>
        </w:rPr>
        <w:t>Council Tax</w:t>
      </w:r>
      <w:r w:rsidR="006C35D4">
        <w:rPr>
          <w:b w:val="0"/>
        </w:rPr>
        <w:t xml:space="preserve"> and Adult Social Care</w:t>
      </w:r>
      <w:r w:rsidR="00FF5809" w:rsidRPr="005A65D5">
        <w:rPr>
          <w:b w:val="0"/>
        </w:rPr>
        <w:t xml:space="preserve"> </w:t>
      </w:r>
      <w:r w:rsidR="00495FF2">
        <w:rPr>
          <w:b w:val="0"/>
        </w:rPr>
        <w:t xml:space="preserve">Precept </w:t>
      </w:r>
      <w:r w:rsidR="00FF5809" w:rsidRPr="005A65D5">
        <w:rPr>
          <w:b w:val="0"/>
        </w:rPr>
        <w:t>Resources</w:t>
      </w:r>
    </w:p>
    <w:p w:rsidR="00D91899" w:rsidRPr="005A65D5" w:rsidRDefault="00D91899" w:rsidP="004321DB">
      <w:pPr>
        <w:spacing w:after="0"/>
        <w:jc w:val="both"/>
        <w:rPr>
          <w:rFonts w:cs="Arial"/>
          <w:szCs w:val="24"/>
        </w:rPr>
      </w:pPr>
    </w:p>
    <w:p w:rsidR="00D91899" w:rsidRDefault="00D91899" w:rsidP="004321DB">
      <w:pPr>
        <w:spacing w:after="0"/>
        <w:jc w:val="both"/>
        <w:rPr>
          <w:rFonts w:cs="Arial"/>
          <w:szCs w:val="24"/>
        </w:rPr>
      </w:pPr>
      <w:r w:rsidRPr="005A65D5">
        <w:rPr>
          <w:rFonts w:cs="Arial"/>
          <w:szCs w:val="24"/>
        </w:rPr>
        <w:t xml:space="preserve">As part of the provisional settlement the Secretary of State confirmed that the Council Tax referendum threshold would remain at 2%. </w:t>
      </w:r>
      <w:r w:rsidR="00F077DD" w:rsidRPr="005A65D5">
        <w:rPr>
          <w:rFonts w:cs="Arial"/>
          <w:szCs w:val="24"/>
        </w:rPr>
        <w:t>In</w:t>
      </w:r>
      <w:r w:rsidRPr="005A65D5">
        <w:rPr>
          <w:rFonts w:cs="Arial"/>
          <w:szCs w:val="24"/>
        </w:rPr>
        <w:t xml:space="preserve"> addition to this</w:t>
      </w:r>
      <w:r w:rsidR="009B6685">
        <w:rPr>
          <w:rFonts w:cs="Arial"/>
          <w:szCs w:val="24"/>
        </w:rPr>
        <w:t xml:space="preserve">, </w:t>
      </w:r>
      <w:r w:rsidR="00C2222D">
        <w:rPr>
          <w:rFonts w:cs="Arial"/>
          <w:szCs w:val="24"/>
        </w:rPr>
        <w:t>there is a new 2% social care precept</w:t>
      </w:r>
      <w:r w:rsidR="009B6685">
        <w:rPr>
          <w:rFonts w:cs="Arial"/>
          <w:szCs w:val="24"/>
        </w:rPr>
        <w:t xml:space="preserve"> that can be raised by </w:t>
      </w:r>
      <w:r w:rsidR="007E4110">
        <w:rPr>
          <w:rFonts w:cs="Arial"/>
          <w:szCs w:val="24"/>
        </w:rPr>
        <w:t>authorities with adult social c</w:t>
      </w:r>
      <w:r w:rsidRPr="005A65D5">
        <w:rPr>
          <w:rFonts w:cs="Arial"/>
          <w:szCs w:val="24"/>
        </w:rPr>
        <w:t>are responsibilities</w:t>
      </w:r>
      <w:r w:rsidR="009B6685">
        <w:rPr>
          <w:rFonts w:cs="Arial"/>
          <w:szCs w:val="24"/>
        </w:rPr>
        <w:t xml:space="preserve">. </w:t>
      </w:r>
      <w:r w:rsidRPr="005A65D5">
        <w:rPr>
          <w:rFonts w:cs="Arial"/>
          <w:szCs w:val="24"/>
        </w:rPr>
        <w:t>The Secretary of State will take account of these authorities’ actions when setting referendum principles in future years.</w:t>
      </w:r>
    </w:p>
    <w:p w:rsidR="009B6685" w:rsidRDefault="009B6685" w:rsidP="004321DB">
      <w:pPr>
        <w:spacing w:after="0"/>
        <w:jc w:val="both"/>
        <w:rPr>
          <w:rFonts w:cs="Arial"/>
          <w:szCs w:val="24"/>
        </w:rPr>
      </w:pPr>
    </w:p>
    <w:p w:rsidR="00D91899" w:rsidRDefault="00D91899" w:rsidP="004321DB">
      <w:pPr>
        <w:spacing w:after="0"/>
        <w:jc w:val="both"/>
        <w:rPr>
          <w:rFonts w:cs="Arial"/>
          <w:szCs w:val="24"/>
        </w:rPr>
      </w:pPr>
      <w:r w:rsidRPr="005A65D5">
        <w:rPr>
          <w:rFonts w:cs="Arial"/>
          <w:szCs w:val="24"/>
        </w:rPr>
        <w:t xml:space="preserve">There </w:t>
      </w:r>
      <w:r w:rsidR="00172DFA" w:rsidRPr="005A65D5">
        <w:rPr>
          <w:rFonts w:cs="Arial"/>
          <w:szCs w:val="24"/>
        </w:rPr>
        <w:t>is</w:t>
      </w:r>
      <w:r w:rsidRPr="005A65D5">
        <w:rPr>
          <w:rFonts w:cs="Arial"/>
          <w:szCs w:val="24"/>
        </w:rPr>
        <w:t xml:space="preserve"> a requirement for Section 151 officers in th</w:t>
      </w:r>
      <w:r w:rsidR="00172DFA" w:rsidRPr="005A65D5">
        <w:rPr>
          <w:rFonts w:cs="Arial"/>
          <w:szCs w:val="24"/>
        </w:rPr>
        <w:t xml:space="preserve">ose </w:t>
      </w:r>
      <w:r w:rsidRPr="005A65D5">
        <w:rPr>
          <w:rFonts w:cs="Arial"/>
          <w:szCs w:val="24"/>
        </w:rPr>
        <w:t xml:space="preserve">authorities </w:t>
      </w:r>
      <w:r w:rsidR="00172DFA" w:rsidRPr="005A65D5">
        <w:rPr>
          <w:rFonts w:cs="Arial"/>
          <w:szCs w:val="24"/>
        </w:rPr>
        <w:t xml:space="preserve">levying the </w:t>
      </w:r>
      <w:r w:rsidR="00C2222D">
        <w:rPr>
          <w:rFonts w:cs="Arial"/>
          <w:szCs w:val="24"/>
        </w:rPr>
        <w:t xml:space="preserve">social care </w:t>
      </w:r>
      <w:r w:rsidR="00172DFA" w:rsidRPr="005A65D5">
        <w:rPr>
          <w:rFonts w:cs="Arial"/>
          <w:szCs w:val="24"/>
        </w:rPr>
        <w:t xml:space="preserve">precept </w:t>
      </w:r>
      <w:r w:rsidRPr="005A65D5">
        <w:rPr>
          <w:rFonts w:cs="Arial"/>
          <w:szCs w:val="24"/>
        </w:rPr>
        <w:t>to provide information demonstrating that an amoun</w:t>
      </w:r>
      <w:r w:rsidR="007E4110">
        <w:rPr>
          <w:rFonts w:cs="Arial"/>
          <w:szCs w:val="24"/>
        </w:rPr>
        <w:t>t equivalent to the additional Council T</w:t>
      </w:r>
      <w:r w:rsidRPr="005A65D5">
        <w:rPr>
          <w:rFonts w:cs="Arial"/>
          <w:szCs w:val="24"/>
        </w:rPr>
        <w:t>ax has been allocated to adult social care. This must be done within 7 days of their au</w:t>
      </w:r>
      <w:r w:rsidR="007E4110">
        <w:rPr>
          <w:rFonts w:cs="Arial"/>
          <w:szCs w:val="24"/>
        </w:rPr>
        <w:t>thority setting its budget and Council T</w:t>
      </w:r>
      <w:r w:rsidR="0043791F">
        <w:rPr>
          <w:rFonts w:cs="Arial"/>
          <w:szCs w:val="24"/>
        </w:rPr>
        <w:t>ax for 2016/</w:t>
      </w:r>
      <w:r w:rsidRPr="005A65D5">
        <w:rPr>
          <w:rFonts w:cs="Arial"/>
          <w:szCs w:val="24"/>
        </w:rPr>
        <w:t>17. In subsequent years of the Parliament, Section 151 officers will be required t</w:t>
      </w:r>
      <w:r w:rsidR="007E4110">
        <w:rPr>
          <w:rFonts w:cs="Arial"/>
          <w:szCs w:val="24"/>
        </w:rPr>
        <w:t>o confirm that this additional Council T</w:t>
      </w:r>
      <w:r w:rsidRPr="005A65D5">
        <w:rPr>
          <w:rFonts w:cs="Arial"/>
          <w:szCs w:val="24"/>
        </w:rPr>
        <w:t>ax continues to be allocated to adult social care.</w:t>
      </w:r>
    </w:p>
    <w:p w:rsidR="007A02AF" w:rsidRPr="005A65D5" w:rsidRDefault="007A02AF" w:rsidP="004321DB">
      <w:pPr>
        <w:spacing w:after="0"/>
        <w:jc w:val="both"/>
        <w:rPr>
          <w:rFonts w:cs="Arial"/>
          <w:szCs w:val="24"/>
        </w:rPr>
      </w:pPr>
    </w:p>
    <w:p w:rsidR="00F077DD" w:rsidRPr="005A65D5" w:rsidRDefault="00F077DD" w:rsidP="004321DB">
      <w:pPr>
        <w:spacing w:after="0"/>
        <w:jc w:val="both"/>
        <w:rPr>
          <w:rFonts w:cs="Arial"/>
          <w:szCs w:val="24"/>
        </w:rPr>
      </w:pPr>
      <w:r w:rsidRPr="005A65D5">
        <w:rPr>
          <w:rFonts w:cs="Arial"/>
          <w:szCs w:val="24"/>
        </w:rPr>
        <w:t>Any proposals for a Council Tax increase above these thresholds will be subject to a referendum.</w:t>
      </w:r>
    </w:p>
    <w:p w:rsidR="00F077DD" w:rsidRPr="005A65D5" w:rsidRDefault="00F077DD" w:rsidP="004321DB">
      <w:pPr>
        <w:spacing w:after="0"/>
        <w:jc w:val="both"/>
        <w:rPr>
          <w:rFonts w:cs="Arial"/>
          <w:szCs w:val="24"/>
        </w:rPr>
      </w:pPr>
    </w:p>
    <w:p w:rsidR="00FF5809" w:rsidRPr="005A65D5" w:rsidRDefault="00317423" w:rsidP="004321DB">
      <w:pPr>
        <w:pStyle w:val="NoSpacing"/>
        <w:spacing w:line="276" w:lineRule="auto"/>
        <w:jc w:val="both"/>
        <w:rPr>
          <w:rFonts w:ascii="Arial" w:hAnsi="Arial" w:cs="Arial"/>
          <w:i/>
        </w:rPr>
      </w:pPr>
      <w:r>
        <w:rPr>
          <w:rFonts w:ascii="Arial" w:hAnsi="Arial" w:cs="Arial"/>
          <w:i/>
        </w:rPr>
        <w:t xml:space="preserve">5.2.1 </w:t>
      </w:r>
      <w:r w:rsidR="00F077DD" w:rsidRPr="005A65D5">
        <w:rPr>
          <w:rFonts w:ascii="Arial" w:hAnsi="Arial" w:cs="Arial"/>
          <w:i/>
        </w:rPr>
        <w:t>Options for Council Tax in 2016/17</w:t>
      </w:r>
    </w:p>
    <w:p w:rsidR="00F077DD" w:rsidRPr="005A65D5" w:rsidRDefault="00F077DD" w:rsidP="004321DB">
      <w:pPr>
        <w:pStyle w:val="NoSpacing"/>
        <w:spacing w:line="276" w:lineRule="auto"/>
        <w:jc w:val="both"/>
        <w:rPr>
          <w:rFonts w:ascii="Arial" w:hAnsi="Arial" w:cs="Arial"/>
          <w:i/>
        </w:rPr>
      </w:pPr>
    </w:p>
    <w:p w:rsidR="00FF5809" w:rsidRDefault="008107C5" w:rsidP="004321DB">
      <w:pPr>
        <w:spacing w:after="0"/>
        <w:jc w:val="both"/>
        <w:rPr>
          <w:rFonts w:cs="Arial"/>
          <w:szCs w:val="24"/>
        </w:rPr>
      </w:pPr>
      <w:r w:rsidRPr="005A65D5">
        <w:rPr>
          <w:rFonts w:cs="Arial"/>
          <w:szCs w:val="24"/>
        </w:rPr>
        <w:t>On 21</w:t>
      </w:r>
      <w:r w:rsidRPr="005A65D5">
        <w:rPr>
          <w:rFonts w:cs="Arial"/>
          <w:szCs w:val="24"/>
          <w:vertAlign w:val="superscript"/>
        </w:rPr>
        <w:t>st</w:t>
      </w:r>
      <w:r w:rsidRPr="005A65D5">
        <w:rPr>
          <w:rFonts w:cs="Arial"/>
          <w:szCs w:val="24"/>
        </w:rPr>
        <w:t xml:space="preserve"> January 2016 Cabinet recommended to Full Council </w:t>
      </w:r>
      <w:r w:rsidR="00D91899" w:rsidRPr="005A65D5">
        <w:rPr>
          <w:rFonts w:cs="Arial"/>
          <w:szCs w:val="24"/>
        </w:rPr>
        <w:t xml:space="preserve">that </w:t>
      </w:r>
      <w:r w:rsidRPr="005A65D5">
        <w:rPr>
          <w:rFonts w:cs="Arial"/>
          <w:szCs w:val="24"/>
        </w:rPr>
        <w:t xml:space="preserve">the Band D Council Tax for 2016/17 </w:t>
      </w:r>
      <w:r w:rsidR="00D91899" w:rsidRPr="005A65D5">
        <w:rPr>
          <w:rFonts w:cs="Arial"/>
          <w:szCs w:val="24"/>
        </w:rPr>
        <w:t xml:space="preserve">has </w:t>
      </w:r>
      <w:r w:rsidRPr="005A65D5">
        <w:rPr>
          <w:rFonts w:cs="Arial"/>
          <w:szCs w:val="24"/>
        </w:rPr>
        <w:t xml:space="preserve">a 3.99% increase including 2% to be used for </w:t>
      </w:r>
      <w:r w:rsidR="007E4110">
        <w:rPr>
          <w:rFonts w:cs="Arial"/>
          <w:szCs w:val="24"/>
        </w:rPr>
        <w:t xml:space="preserve">the </w:t>
      </w:r>
      <w:r w:rsidRPr="005A65D5">
        <w:rPr>
          <w:rFonts w:cs="Arial"/>
          <w:szCs w:val="24"/>
        </w:rPr>
        <w:t>social</w:t>
      </w:r>
      <w:r w:rsidR="00495FF2">
        <w:rPr>
          <w:rFonts w:cs="Arial"/>
          <w:szCs w:val="24"/>
        </w:rPr>
        <w:t xml:space="preserve"> care </w:t>
      </w:r>
      <w:r w:rsidR="007E4110">
        <w:rPr>
          <w:rFonts w:cs="Arial"/>
          <w:szCs w:val="24"/>
        </w:rPr>
        <w:t xml:space="preserve">precept. </w:t>
      </w:r>
      <w:r w:rsidR="00172DFA" w:rsidRPr="005A65D5">
        <w:rPr>
          <w:rFonts w:cs="Arial"/>
          <w:szCs w:val="24"/>
        </w:rPr>
        <w:t>The Council Tax figures within the MTFS include the impact of a 3.99% increase in Council Tax</w:t>
      </w:r>
      <w:r w:rsidR="00495FF2">
        <w:rPr>
          <w:rFonts w:cs="Arial"/>
          <w:szCs w:val="24"/>
        </w:rPr>
        <w:t xml:space="preserve"> in 2016/17 only</w:t>
      </w:r>
      <w:r w:rsidR="00172DFA" w:rsidRPr="005A65D5">
        <w:rPr>
          <w:rFonts w:cs="Arial"/>
          <w:szCs w:val="24"/>
        </w:rPr>
        <w:t>.</w:t>
      </w:r>
    </w:p>
    <w:p w:rsidR="007A02AF" w:rsidRPr="005A65D5" w:rsidRDefault="007A02AF" w:rsidP="004321DB">
      <w:pPr>
        <w:spacing w:after="0"/>
        <w:jc w:val="both"/>
        <w:rPr>
          <w:rFonts w:cs="Arial"/>
          <w:szCs w:val="24"/>
        </w:rPr>
      </w:pPr>
    </w:p>
    <w:p w:rsidR="00172DFA" w:rsidRDefault="00172DFA" w:rsidP="004321DB">
      <w:pPr>
        <w:spacing w:after="0"/>
        <w:jc w:val="both"/>
        <w:rPr>
          <w:rFonts w:cs="Arial"/>
          <w:szCs w:val="24"/>
        </w:rPr>
      </w:pPr>
      <w:r w:rsidRPr="005A65D5">
        <w:rPr>
          <w:rFonts w:cs="Arial"/>
          <w:szCs w:val="24"/>
        </w:rPr>
        <w:t>Since producing the MTFS the District Co</w:t>
      </w:r>
      <w:r w:rsidR="007E4110">
        <w:rPr>
          <w:rFonts w:cs="Arial"/>
          <w:szCs w:val="24"/>
        </w:rPr>
        <w:t>uncils have confirmed both the Council Tax-</w:t>
      </w:r>
      <w:r w:rsidRPr="005A65D5">
        <w:rPr>
          <w:rFonts w:cs="Arial"/>
          <w:szCs w:val="24"/>
        </w:rPr>
        <w:t>base and the surplus on the Collection Fund.</w:t>
      </w:r>
      <w:r w:rsidR="00C2222D">
        <w:rPr>
          <w:rFonts w:cs="Arial"/>
          <w:szCs w:val="24"/>
        </w:rPr>
        <w:t xml:space="preserve"> The confirmed tax base </w:t>
      </w:r>
      <w:r w:rsidRPr="005A65D5">
        <w:rPr>
          <w:rFonts w:cs="Arial"/>
          <w:szCs w:val="24"/>
        </w:rPr>
        <w:t xml:space="preserve">shows a higher increase than anticipated. The impact of the </w:t>
      </w:r>
      <w:r w:rsidR="00482684">
        <w:rPr>
          <w:rFonts w:cs="Arial"/>
          <w:szCs w:val="24"/>
        </w:rPr>
        <w:t>change</w:t>
      </w:r>
      <w:r w:rsidR="00D77763" w:rsidRPr="005A65D5">
        <w:rPr>
          <w:rFonts w:cs="Arial"/>
          <w:szCs w:val="24"/>
        </w:rPr>
        <w:t xml:space="preserve"> in</w:t>
      </w:r>
      <w:r w:rsidR="00EC11C4" w:rsidRPr="005A65D5">
        <w:rPr>
          <w:rFonts w:cs="Arial"/>
          <w:szCs w:val="24"/>
        </w:rPr>
        <w:t xml:space="preserve"> the</w:t>
      </w:r>
      <w:r w:rsidR="00D77763" w:rsidRPr="005A65D5">
        <w:rPr>
          <w:rFonts w:cs="Arial"/>
          <w:szCs w:val="24"/>
        </w:rPr>
        <w:t xml:space="preserve"> tax-base </w:t>
      </w:r>
      <w:r w:rsidR="00C2222D">
        <w:rPr>
          <w:rFonts w:cs="Arial"/>
          <w:szCs w:val="24"/>
        </w:rPr>
        <w:t>gives</w:t>
      </w:r>
      <w:r w:rsidR="00495FF2">
        <w:rPr>
          <w:rFonts w:cs="Arial"/>
          <w:szCs w:val="24"/>
        </w:rPr>
        <w:t xml:space="preserve"> </w:t>
      </w:r>
      <w:r w:rsidR="00482684">
        <w:rPr>
          <w:rFonts w:cs="Arial"/>
          <w:szCs w:val="24"/>
        </w:rPr>
        <w:t>an on-going increase</w:t>
      </w:r>
      <w:r w:rsidR="00F077DD" w:rsidRPr="005A65D5">
        <w:rPr>
          <w:rFonts w:cs="Arial"/>
          <w:szCs w:val="24"/>
        </w:rPr>
        <w:t xml:space="preserve"> </w:t>
      </w:r>
      <w:r w:rsidR="00482684">
        <w:rPr>
          <w:rFonts w:cs="Arial"/>
          <w:szCs w:val="24"/>
        </w:rPr>
        <w:t xml:space="preserve">in </w:t>
      </w:r>
      <w:r w:rsidR="00D77763" w:rsidRPr="005A65D5">
        <w:rPr>
          <w:rFonts w:cs="Arial"/>
          <w:szCs w:val="24"/>
        </w:rPr>
        <w:t xml:space="preserve">the </w:t>
      </w:r>
      <w:r w:rsidR="00C2222D">
        <w:rPr>
          <w:rFonts w:cs="Arial"/>
          <w:szCs w:val="24"/>
        </w:rPr>
        <w:t xml:space="preserve">Council Tax </w:t>
      </w:r>
      <w:r w:rsidR="00D77763" w:rsidRPr="005A65D5">
        <w:rPr>
          <w:rFonts w:cs="Arial"/>
          <w:szCs w:val="24"/>
        </w:rPr>
        <w:t xml:space="preserve">income received </w:t>
      </w:r>
      <w:r w:rsidR="00482684">
        <w:rPr>
          <w:rFonts w:cs="Arial"/>
          <w:szCs w:val="24"/>
        </w:rPr>
        <w:t>of</w:t>
      </w:r>
      <w:r w:rsidR="00D77763" w:rsidRPr="005A65D5">
        <w:rPr>
          <w:rFonts w:cs="Arial"/>
          <w:szCs w:val="24"/>
        </w:rPr>
        <w:t xml:space="preserve"> £7.453m</w:t>
      </w:r>
      <w:r w:rsidR="007E4110">
        <w:rPr>
          <w:rFonts w:cs="Arial"/>
          <w:szCs w:val="24"/>
        </w:rPr>
        <w:t>.</w:t>
      </w:r>
      <w:r w:rsidR="00283CA2">
        <w:rPr>
          <w:rFonts w:cs="Arial"/>
          <w:szCs w:val="24"/>
        </w:rPr>
        <w:t xml:space="preserve"> </w:t>
      </w:r>
      <w:r w:rsidR="007E4110">
        <w:rPr>
          <w:rFonts w:cs="Arial"/>
          <w:szCs w:val="24"/>
        </w:rPr>
        <w:t xml:space="preserve">This is </w:t>
      </w:r>
      <w:r w:rsidR="00C2222D">
        <w:rPr>
          <w:rFonts w:cs="Arial"/>
          <w:szCs w:val="24"/>
        </w:rPr>
        <w:t>£5.653m higher than previously forecast</w:t>
      </w:r>
      <w:r w:rsidR="00283CA2">
        <w:rPr>
          <w:rFonts w:cs="Arial"/>
          <w:szCs w:val="24"/>
        </w:rPr>
        <w:t>.</w:t>
      </w:r>
      <w:r w:rsidR="00482684">
        <w:rPr>
          <w:rFonts w:cs="Arial"/>
          <w:szCs w:val="24"/>
        </w:rPr>
        <w:t xml:space="preserve">  </w:t>
      </w:r>
    </w:p>
    <w:p w:rsidR="007A02AF" w:rsidRPr="005A65D5" w:rsidRDefault="007A02AF" w:rsidP="004321DB">
      <w:pPr>
        <w:spacing w:after="0"/>
        <w:jc w:val="both"/>
        <w:rPr>
          <w:rFonts w:cs="Arial"/>
          <w:szCs w:val="24"/>
        </w:rPr>
      </w:pPr>
    </w:p>
    <w:p w:rsidR="002236B9" w:rsidRDefault="002E382D" w:rsidP="004321DB">
      <w:pPr>
        <w:spacing w:after="0"/>
        <w:jc w:val="both"/>
        <w:rPr>
          <w:rFonts w:cs="Arial"/>
          <w:szCs w:val="24"/>
        </w:rPr>
      </w:pPr>
      <w:r>
        <w:rPr>
          <w:rFonts w:cs="Arial"/>
          <w:szCs w:val="24"/>
        </w:rPr>
        <w:t>A £7.</w:t>
      </w:r>
      <w:r w:rsidR="00C54EDA">
        <w:rPr>
          <w:rFonts w:cs="Arial"/>
          <w:szCs w:val="24"/>
        </w:rPr>
        <w:t>037</w:t>
      </w:r>
      <w:r>
        <w:rPr>
          <w:rFonts w:cs="Arial"/>
          <w:szCs w:val="24"/>
        </w:rPr>
        <w:t xml:space="preserve">m </w:t>
      </w:r>
      <w:r w:rsidR="00FF5809" w:rsidRPr="005A65D5">
        <w:rPr>
          <w:rFonts w:cs="Arial"/>
          <w:szCs w:val="24"/>
        </w:rPr>
        <w:t xml:space="preserve">surplus on the </w:t>
      </w:r>
      <w:r w:rsidR="00C2222D">
        <w:rPr>
          <w:rFonts w:cs="Arial"/>
          <w:szCs w:val="24"/>
        </w:rPr>
        <w:t xml:space="preserve">Council Tax </w:t>
      </w:r>
      <w:r w:rsidR="00FF5809" w:rsidRPr="005A65D5">
        <w:rPr>
          <w:rFonts w:cs="Arial"/>
          <w:szCs w:val="24"/>
        </w:rPr>
        <w:t>Collection Fund</w:t>
      </w:r>
      <w:r w:rsidR="00DD20CF" w:rsidRPr="005A65D5">
        <w:rPr>
          <w:rFonts w:cs="Arial"/>
          <w:szCs w:val="24"/>
        </w:rPr>
        <w:t xml:space="preserve"> in 201</w:t>
      </w:r>
      <w:r w:rsidR="00C2222D">
        <w:rPr>
          <w:rFonts w:cs="Arial"/>
          <w:szCs w:val="24"/>
        </w:rPr>
        <w:t>5</w:t>
      </w:r>
      <w:r w:rsidR="00DD20CF" w:rsidRPr="005A65D5">
        <w:rPr>
          <w:rFonts w:cs="Arial"/>
          <w:szCs w:val="24"/>
        </w:rPr>
        <w:t>/1</w:t>
      </w:r>
      <w:r w:rsidR="00D77763" w:rsidRPr="005A65D5">
        <w:rPr>
          <w:rFonts w:cs="Arial"/>
          <w:szCs w:val="24"/>
        </w:rPr>
        <w:t>6</w:t>
      </w:r>
      <w:r w:rsidR="006E4C82" w:rsidRPr="005A65D5">
        <w:rPr>
          <w:rFonts w:cs="Arial"/>
          <w:szCs w:val="24"/>
        </w:rPr>
        <w:t xml:space="preserve"> has been identified </w:t>
      </w:r>
      <w:r w:rsidR="00C2222D">
        <w:rPr>
          <w:rFonts w:cs="Arial"/>
          <w:szCs w:val="24"/>
        </w:rPr>
        <w:t>giving a</w:t>
      </w:r>
      <w:r w:rsidR="006E4C82" w:rsidRPr="005A65D5">
        <w:rPr>
          <w:rFonts w:cs="Arial"/>
          <w:szCs w:val="24"/>
        </w:rPr>
        <w:t xml:space="preserve"> o</w:t>
      </w:r>
      <w:r w:rsidR="005F5124" w:rsidRPr="005A65D5">
        <w:rPr>
          <w:rFonts w:cs="Arial"/>
          <w:szCs w:val="24"/>
        </w:rPr>
        <w:t>ne-off resource available in 20</w:t>
      </w:r>
      <w:r w:rsidR="00C2222D">
        <w:rPr>
          <w:rFonts w:cs="Arial"/>
          <w:szCs w:val="24"/>
        </w:rPr>
        <w:t>16/17.</w:t>
      </w:r>
    </w:p>
    <w:p w:rsidR="007A02AF" w:rsidRPr="005A65D5" w:rsidRDefault="007A02AF" w:rsidP="004321DB">
      <w:pPr>
        <w:spacing w:after="0"/>
        <w:jc w:val="both"/>
        <w:rPr>
          <w:rFonts w:cs="Arial"/>
          <w:szCs w:val="24"/>
        </w:rPr>
      </w:pPr>
    </w:p>
    <w:p w:rsidR="00A2745D" w:rsidRDefault="00466306" w:rsidP="00A2745D">
      <w:pPr>
        <w:spacing w:after="0"/>
        <w:jc w:val="both"/>
        <w:rPr>
          <w:rFonts w:cs="Arial"/>
          <w:szCs w:val="24"/>
        </w:rPr>
      </w:pPr>
      <w:r w:rsidRPr="005A65D5">
        <w:rPr>
          <w:rFonts w:cs="Arial"/>
          <w:szCs w:val="24"/>
        </w:rPr>
        <w:t xml:space="preserve">The table </w:t>
      </w:r>
      <w:r w:rsidR="007E4110">
        <w:rPr>
          <w:rFonts w:cs="Arial"/>
          <w:szCs w:val="24"/>
        </w:rPr>
        <w:t>below shows the impact of Council T</w:t>
      </w:r>
      <w:r w:rsidRPr="005A65D5">
        <w:rPr>
          <w:rFonts w:cs="Arial"/>
          <w:szCs w:val="24"/>
        </w:rPr>
        <w:t xml:space="preserve">ax increases in increments of </w:t>
      </w:r>
      <w:r w:rsidR="00163514" w:rsidRPr="005A65D5">
        <w:rPr>
          <w:rFonts w:cs="Arial"/>
          <w:szCs w:val="24"/>
        </w:rPr>
        <w:t>1.0</w:t>
      </w:r>
      <w:r w:rsidRPr="005A65D5">
        <w:rPr>
          <w:rFonts w:cs="Arial"/>
          <w:szCs w:val="24"/>
        </w:rPr>
        <w:t>% ranging from a</w:t>
      </w:r>
      <w:r w:rsidR="002D74F2">
        <w:rPr>
          <w:rFonts w:cs="Arial"/>
          <w:szCs w:val="24"/>
        </w:rPr>
        <w:t xml:space="preserve"> freeze to an increase of 3</w:t>
      </w:r>
      <w:r w:rsidR="00317423">
        <w:rPr>
          <w:rFonts w:cs="Arial"/>
          <w:szCs w:val="24"/>
        </w:rPr>
        <w:t>.99%</w:t>
      </w:r>
      <w:r w:rsidR="00C65BAF">
        <w:rPr>
          <w:rFonts w:cs="Arial"/>
          <w:szCs w:val="24"/>
        </w:rPr>
        <w:t>, which includes the 2% Adult Social Care precept</w:t>
      </w:r>
      <w:r w:rsidR="00317423">
        <w:rPr>
          <w:rFonts w:cs="Arial"/>
          <w:szCs w:val="24"/>
        </w:rPr>
        <w:t>:</w:t>
      </w:r>
    </w:p>
    <w:p w:rsidR="00466306" w:rsidRPr="00A2745D" w:rsidRDefault="00495FF2" w:rsidP="00A2745D">
      <w:pPr>
        <w:spacing w:after="0"/>
        <w:jc w:val="both"/>
        <w:rPr>
          <w:rFonts w:cs="Arial"/>
          <w:szCs w:val="24"/>
        </w:rPr>
      </w:pPr>
      <w:bookmarkStart w:id="0" w:name="_GoBack"/>
      <w:bookmarkEnd w:id="0"/>
      <w:r w:rsidRPr="00495FF2">
        <w:rPr>
          <w:rFonts w:cs="Arial"/>
          <w:b/>
          <w:szCs w:val="24"/>
        </w:rPr>
        <w:lastRenderedPageBreak/>
        <w:t>Table 3</w:t>
      </w:r>
      <w:r w:rsidR="00466306" w:rsidRPr="00495FF2">
        <w:rPr>
          <w:rFonts w:cs="Arial"/>
          <w:b/>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tblGrid>
      <w:tr w:rsidR="007A02AF" w:rsidRPr="00317423" w:rsidTr="007A02AF">
        <w:trPr>
          <w:trHeight w:val="610"/>
        </w:trPr>
        <w:tc>
          <w:tcPr>
            <w:tcW w:w="4395" w:type="dxa"/>
            <w:shd w:val="clear" w:color="auto" w:fill="BFBFBF" w:themeFill="background1" w:themeFillShade="BF"/>
            <w:noWrap/>
            <w:vAlign w:val="center"/>
            <w:hideMark/>
          </w:tcPr>
          <w:p w:rsidR="007A02AF" w:rsidRPr="00317423" w:rsidRDefault="007A02AF" w:rsidP="004321DB">
            <w:pPr>
              <w:spacing w:after="0"/>
              <w:jc w:val="both"/>
              <w:rPr>
                <w:rFonts w:cs="Arial"/>
                <w:b/>
                <w:color w:val="000000"/>
                <w:sz w:val="22"/>
                <w:lang w:eastAsia="en-GB"/>
              </w:rPr>
            </w:pPr>
            <w:r w:rsidRPr="00317423">
              <w:rPr>
                <w:rFonts w:cs="Arial"/>
                <w:b/>
                <w:color w:val="000000"/>
                <w:sz w:val="22"/>
                <w:lang w:eastAsia="en-GB"/>
              </w:rPr>
              <w:t>Impact of an Increase in Council  Tax</w:t>
            </w:r>
          </w:p>
        </w:tc>
        <w:tc>
          <w:tcPr>
            <w:tcW w:w="1842" w:type="dxa"/>
            <w:shd w:val="clear" w:color="auto" w:fill="BFBFBF" w:themeFill="background1" w:themeFillShade="BF"/>
            <w:noWrap/>
            <w:vAlign w:val="center"/>
            <w:hideMark/>
          </w:tcPr>
          <w:p w:rsidR="007A02AF" w:rsidRPr="00317423" w:rsidRDefault="007A02AF" w:rsidP="004321DB">
            <w:pPr>
              <w:spacing w:after="0"/>
              <w:jc w:val="center"/>
              <w:rPr>
                <w:rFonts w:cs="Arial"/>
                <w:b/>
                <w:color w:val="000000"/>
                <w:sz w:val="22"/>
                <w:lang w:eastAsia="en-GB"/>
              </w:rPr>
            </w:pPr>
            <w:r w:rsidRPr="00317423">
              <w:rPr>
                <w:rFonts w:cs="Arial"/>
                <w:b/>
                <w:color w:val="000000"/>
                <w:sz w:val="22"/>
                <w:lang w:eastAsia="en-GB"/>
              </w:rPr>
              <w:t>201</w:t>
            </w:r>
            <w:r w:rsidR="00351D95">
              <w:rPr>
                <w:rFonts w:cs="Arial"/>
                <w:b/>
                <w:color w:val="000000"/>
                <w:sz w:val="22"/>
                <w:lang w:eastAsia="en-GB"/>
              </w:rPr>
              <w:t>6</w:t>
            </w:r>
            <w:r w:rsidRPr="00317423">
              <w:rPr>
                <w:rFonts w:cs="Arial"/>
                <w:b/>
                <w:color w:val="000000"/>
                <w:sz w:val="22"/>
                <w:lang w:eastAsia="en-GB"/>
              </w:rPr>
              <w:t>/1</w:t>
            </w:r>
            <w:r w:rsidR="00351D95">
              <w:rPr>
                <w:rFonts w:cs="Arial"/>
                <w:b/>
                <w:color w:val="000000"/>
                <w:sz w:val="22"/>
                <w:lang w:eastAsia="en-GB"/>
              </w:rPr>
              <w:t>7</w:t>
            </w:r>
          </w:p>
          <w:p w:rsidR="007A02AF" w:rsidRPr="00317423" w:rsidRDefault="007A02AF" w:rsidP="004321DB">
            <w:pPr>
              <w:spacing w:after="0"/>
              <w:jc w:val="center"/>
              <w:rPr>
                <w:rFonts w:cs="Arial"/>
                <w:b/>
                <w:color w:val="000000"/>
                <w:sz w:val="22"/>
                <w:lang w:eastAsia="en-GB"/>
              </w:rPr>
            </w:pPr>
            <w:r w:rsidRPr="00317423">
              <w:rPr>
                <w:rFonts w:cs="Arial"/>
                <w:b/>
                <w:color w:val="000000"/>
                <w:sz w:val="22"/>
                <w:lang w:eastAsia="en-GB"/>
              </w:rPr>
              <w:t>£m</w:t>
            </w:r>
          </w:p>
        </w:tc>
      </w:tr>
      <w:tr w:rsidR="00466306" w:rsidRPr="00317423" w:rsidTr="007A02AF">
        <w:trPr>
          <w:trHeight w:val="350"/>
        </w:trPr>
        <w:tc>
          <w:tcPr>
            <w:tcW w:w="4395" w:type="dxa"/>
            <w:shd w:val="clear" w:color="auto" w:fill="auto"/>
            <w:noWrap/>
            <w:vAlign w:val="center"/>
          </w:tcPr>
          <w:p w:rsidR="00466306" w:rsidRPr="00317423" w:rsidRDefault="00466306" w:rsidP="004321DB">
            <w:pPr>
              <w:spacing w:after="0"/>
              <w:jc w:val="both"/>
              <w:rPr>
                <w:rFonts w:cs="Arial"/>
                <w:color w:val="000000"/>
                <w:sz w:val="22"/>
                <w:lang w:eastAsia="en-GB"/>
              </w:rPr>
            </w:pPr>
            <w:r w:rsidRPr="00317423">
              <w:rPr>
                <w:rFonts w:cs="Arial"/>
                <w:color w:val="000000"/>
                <w:sz w:val="22"/>
                <w:lang w:eastAsia="en-GB"/>
              </w:rPr>
              <w:t>Freeze</w:t>
            </w:r>
          </w:p>
        </w:tc>
        <w:tc>
          <w:tcPr>
            <w:tcW w:w="1842" w:type="dxa"/>
            <w:shd w:val="clear" w:color="auto" w:fill="auto"/>
            <w:noWrap/>
            <w:vAlign w:val="center"/>
          </w:tcPr>
          <w:p w:rsidR="00466306" w:rsidRPr="00317423" w:rsidRDefault="00D75FD2" w:rsidP="004321DB">
            <w:pPr>
              <w:spacing w:after="0"/>
              <w:jc w:val="center"/>
              <w:rPr>
                <w:rFonts w:cs="Arial"/>
                <w:color w:val="000000"/>
                <w:sz w:val="22"/>
                <w:lang w:eastAsia="en-GB"/>
              </w:rPr>
            </w:pPr>
            <w:r w:rsidRPr="00317423">
              <w:rPr>
                <w:rFonts w:cs="Arial"/>
                <w:color w:val="000000"/>
                <w:sz w:val="22"/>
                <w:lang w:eastAsia="en-GB"/>
              </w:rPr>
              <w:t>7.167</w:t>
            </w:r>
          </w:p>
        </w:tc>
      </w:tr>
      <w:tr w:rsidR="00466306" w:rsidRPr="00317423" w:rsidTr="007A02AF">
        <w:trPr>
          <w:trHeight w:val="350"/>
        </w:trPr>
        <w:tc>
          <w:tcPr>
            <w:tcW w:w="4395" w:type="dxa"/>
            <w:shd w:val="clear" w:color="auto" w:fill="auto"/>
            <w:noWrap/>
            <w:vAlign w:val="center"/>
            <w:hideMark/>
          </w:tcPr>
          <w:p w:rsidR="00466306" w:rsidRPr="00317423" w:rsidRDefault="00163514" w:rsidP="004321DB">
            <w:pPr>
              <w:spacing w:after="0"/>
              <w:jc w:val="both"/>
              <w:rPr>
                <w:rFonts w:cs="Arial"/>
                <w:color w:val="000000"/>
                <w:sz w:val="22"/>
                <w:lang w:eastAsia="en-GB"/>
              </w:rPr>
            </w:pPr>
            <w:r w:rsidRPr="00317423">
              <w:rPr>
                <w:rFonts w:cs="Arial"/>
                <w:color w:val="000000"/>
                <w:sz w:val="22"/>
                <w:lang w:eastAsia="en-GB"/>
              </w:rPr>
              <w:t>1.00</w:t>
            </w:r>
            <w:r w:rsidR="00466306" w:rsidRPr="00317423">
              <w:rPr>
                <w:rFonts w:cs="Arial"/>
                <w:color w:val="000000"/>
                <w:sz w:val="22"/>
                <w:lang w:eastAsia="en-GB"/>
              </w:rPr>
              <w:t xml:space="preserve">% increase </w:t>
            </w:r>
          </w:p>
        </w:tc>
        <w:tc>
          <w:tcPr>
            <w:tcW w:w="1842" w:type="dxa"/>
            <w:shd w:val="clear" w:color="auto" w:fill="auto"/>
            <w:noWrap/>
            <w:vAlign w:val="center"/>
          </w:tcPr>
          <w:p w:rsidR="00466306" w:rsidRPr="00317423" w:rsidRDefault="00D75FD2" w:rsidP="004321DB">
            <w:pPr>
              <w:spacing w:after="0"/>
              <w:jc w:val="center"/>
              <w:rPr>
                <w:rFonts w:cs="Arial"/>
                <w:color w:val="000000"/>
                <w:sz w:val="22"/>
                <w:lang w:eastAsia="en-GB"/>
              </w:rPr>
            </w:pPr>
            <w:r w:rsidRPr="00317423">
              <w:rPr>
                <w:rFonts w:cs="Arial"/>
                <w:color w:val="000000"/>
                <w:sz w:val="22"/>
                <w:lang w:eastAsia="en-GB"/>
              </w:rPr>
              <w:t>11.110</w:t>
            </w:r>
          </w:p>
        </w:tc>
      </w:tr>
      <w:tr w:rsidR="00466306" w:rsidRPr="00317423" w:rsidTr="007A02AF">
        <w:trPr>
          <w:trHeight w:val="350"/>
        </w:trPr>
        <w:tc>
          <w:tcPr>
            <w:tcW w:w="4395" w:type="dxa"/>
            <w:shd w:val="clear" w:color="auto" w:fill="auto"/>
            <w:noWrap/>
            <w:vAlign w:val="center"/>
            <w:hideMark/>
          </w:tcPr>
          <w:p w:rsidR="00466306" w:rsidRPr="00317423" w:rsidRDefault="00163514" w:rsidP="004321DB">
            <w:pPr>
              <w:spacing w:after="0"/>
              <w:jc w:val="both"/>
              <w:rPr>
                <w:rFonts w:cs="Arial"/>
                <w:color w:val="000000"/>
                <w:sz w:val="22"/>
                <w:lang w:eastAsia="en-GB"/>
              </w:rPr>
            </w:pPr>
            <w:r w:rsidRPr="00317423">
              <w:rPr>
                <w:rFonts w:cs="Arial"/>
                <w:color w:val="000000"/>
                <w:sz w:val="22"/>
                <w:lang w:eastAsia="en-GB"/>
              </w:rPr>
              <w:t>2.0</w:t>
            </w:r>
            <w:r w:rsidR="00466306" w:rsidRPr="00317423">
              <w:rPr>
                <w:rFonts w:cs="Arial"/>
                <w:color w:val="000000"/>
                <w:sz w:val="22"/>
                <w:lang w:eastAsia="en-GB"/>
              </w:rPr>
              <w:t xml:space="preserve">% increase </w:t>
            </w:r>
          </w:p>
        </w:tc>
        <w:tc>
          <w:tcPr>
            <w:tcW w:w="1842" w:type="dxa"/>
            <w:shd w:val="clear" w:color="auto" w:fill="auto"/>
            <w:noWrap/>
            <w:vAlign w:val="center"/>
          </w:tcPr>
          <w:p w:rsidR="00466306" w:rsidRPr="00317423" w:rsidRDefault="00D75FD2" w:rsidP="004321DB">
            <w:pPr>
              <w:spacing w:after="0"/>
              <w:jc w:val="center"/>
              <w:rPr>
                <w:rFonts w:cs="Arial"/>
                <w:color w:val="000000"/>
                <w:sz w:val="22"/>
                <w:lang w:eastAsia="en-GB"/>
              </w:rPr>
            </w:pPr>
            <w:r w:rsidRPr="00317423">
              <w:rPr>
                <w:rFonts w:cs="Arial"/>
                <w:color w:val="000000"/>
                <w:sz w:val="22"/>
                <w:lang w:eastAsia="en-GB"/>
              </w:rPr>
              <w:t>15.054</w:t>
            </w:r>
          </w:p>
        </w:tc>
      </w:tr>
      <w:tr w:rsidR="00466306" w:rsidRPr="00317423" w:rsidTr="007A02AF">
        <w:trPr>
          <w:trHeight w:val="350"/>
        </w:trPr>
        <w:tc>
          <w:tcPr>
            <w:tcW w:w="4395" w:type="dxa"/>
            <w:shd w:val="clear" w:color="auto" w:fill="auto"/>
            <w:noWrap/>
            <w:vAlign w:val="center"/>
            <w:hideMark/>
          </w:tcPr>
          <w:p w:rsidR="00466306" w:rsidRPr="00317423" w:rsidRDefault="00163514" w:rsidP="004321DB">
            <w:pPr>
              <w:spacing w:after="0"/>
              <w:jc w:val="both"/>
              <w:rPr>
                <w:rFonts w:cs="Arial"/>
                <w:color w:val="000000"/>
                <w:sz w:val="22"/>
                <w:lang w:eastAsia="en-GB"/>
              </w:rPr>
            </w:pPr>
            <w:r w:rsidRPr="00317423">
              <w:rPr>
                <w:rFonts w:cs="Arial"/>
                <w:color w:val="000000"/>
                <w:sz w:val="22"/>
                <w:lang w:eastAsia="en-GB"/>
              </w:rPr>
              <w:t>3.0</w:t>
            </w:r>
            <w:r w:rsidR="00466306" w:rsidRPr="00317423">
              <w:rPr>
                <w:rFonts w:cs="Arial"/>
                <w:color w:val="000000"/>
                <w:sz w:val="22"/>
                <w:lang w:eastAsia="en-GB"/>
              </w:rPr>
              <w:t xml:space="preserve">% increase </w:t>
            </w:r>
          </w:p>
        </w:tc>
        <w:tc>
          <w:tcPr>
            <w:tcW w:w="1842" w:type="dxa"/>
            <w:shd w:val="clear" w:color="auto" w:fill="auto"/>
            <w:noWrap/>
            <w:vAlign w:val="center"/>
          </w:tcPr>
          <w:p w:rsidR="00466306" w:rsidRPr="00317423" w:rsidRDefault="00D75FD2" w:rsidP="004321DB">
            <w:pPr>
              <w:spacing w:after="0"/>
              <w:jc w:val="center"/>
              <w:rPr>
                <w:rFonts w:cs="Arial"/>
                <w:color w:val="000000"/>
                <w:sz w:val="22"/>
                <w:lang w:eastAsia="en-GB"/>
              </w:rPr>
            </w:pPr>
            <w:r w:rsidRPr="00317423">
              <w:rPr>
                <w:rFonts w:cs="Arial"/>
                <w:color w:val="000000"/>
                <w:sz w:val="22"/>
                <w:lang w:eastAsia="en-GB"/>
              </w:rPr>
              <w:t>18.994</w:t>
            </w:r>
          </w:p>
        </w:tc>
      </w:tr>
      <w:tr w:rsidR="00466306" w:rsidRPr="00317423" w:rsidTr="007A02AF">
        <w:trPr>
          <w:trHeight w:val="350"/>
        </w:trPr>
        <w:tc>
          <w:tcPr>
            <w:tcW w:w="4395" w:type="dxa"/>
            <w:shd w:val="clear" w:color="auto" w:fill="auto"/>
            <w:noWrap/>
            <w:vAlign w:val="center"/>
            <w:hideMark/>
          </w:tcPr>
          <w:p w:rsidR="00466306" w:rsidRPr="00317423" w:rsidRDefault="00163514" w:rsidP="004321DB">
            <w:pPr>
              <w:spacing w:after="0"/>
              <w:jc w:val="both"/>
              <w:rPr>
                <w:rFonts w:cs="Arial"/>
                <w:color w:val="000000"/>
                <w:sz w:val="22"/>
                <w:lang w:eastAsia="en-GB"/>
              </w:rPr>
            </w:pPr>
            <w:r w:rsidRPr="00317423">
              <w:rPr>
                <w:rFonts w:cs="Arial"/>
                <w:color w:val="000000"/>
                <w:sz w:val="22"/>
                <w:lang w:eastAsia="en-GB"/>
              </w:rPr>
              <w:t>3</w:t>
            </w:r>
            <w:r w:rsidR="00466306" w:rsidRPr="00317423">
              <w:rPr>
                <w:rFonts w:cs="Arial"/>
                <w:color w:val="000000"/>
                <w:sz w:val="22"/>
                <w:lang w:eastAsia="en-GB"/>
              </w:rPr>
              <w:t>.99% increase</w:t>
            </w:r>
          </w:p>
        </w:tc>
        <w:tc>
          <w:tcPr>
            <w:tcW w:w="1842" w:type="dxa"/>
            <w:shd w:val="clear" w:color="auto" w:fill="auto"/>
            <w:noWrap/>
            <w:vAlign w:val="center"/>
            <w:hideMark/>
          </w:tcPr>
          <w:p w:rsidR="00466306" w:rsidRPr="00317423" w:rsidRDefault="00D75FD2" w:rsidP="004321DB">
            <w:pPr>
              <w:spacing w:after="0"/>
              <w:jc w:val="center"/>
              <w:rPr>
                <w:rFonts w:cs="Arial"/>
                <w:color w:val="000000"/>
                <w:sz w:val="22"/>
                <w:lang w:eastAsia="en-GB"/>
              </w:rPr>
            </w:pPr>
            <w:r w:rsidRPr="00317423">
              <w:rPr>
                <w:rFonts w:cs="Arial"/>
                <w:color w:val="000000"/>
                <w:sz w:val="22"/>
                <w:lang w:eastAsia="en-GB"/>
              </w:rPr>
              <w:t>22.899</w:t>
            </w:r>
          </w:p>
        </w:tc>
      </w:tr>
    </w:tbl>
    <w:p w:rsidR="007A02AF" w:rsidRPr="005A65D5" w:rsidRDefault="007A02AF" w:rsidP="004321DB">
      <w:pPr>
        <w:spacing w:after="0"/>
        <w:jc w:val="both"/>
        <w:rPr>
          <w:rFonts w:cs="Arial"/>
          <w:szCs w:val="24"/>
        </w:rPr>
      </w:pPr>
    </w:p>
    <w:p w:rsidR="006A216A" w:rsidRDefault="00661624" w:rsidP="004321DB">
      <w:pPr>
        <w:spacing w:after="0"/>
        <w:jc w:val="both"/>
        <w:rPr>
          <w:rFonts w:cs="Arial"/>
          <w:i/>
          <w:szCs w:val="24"/>
        </w:rPr>
      </w:pPr>
      <w:r w:rsidRPr="005A65D5">
        <w:rPr>
          <w:rFonts w:cs="Arial"/>
          <w:i/>
          <w:szCs w:val="24"/>
        </w:rPr>
        <w:t>5.</w:t>
      </w:r>
      <w:r w:rsidR="00683F8E" w:rsidRPr="005A65D5">
        <w:rPr>
          <w:rFonts w:cs="Arial"/>
          <w:i/>
          <w:szCs w:val="24"/>
        </w:rPr>
        <w:t>3</w:t>
      </w:r>
      <w:r w:rsidR="00317423">
        <w:rPr>
          <w:rFonts w:cs="Arial"/>
          <w:i/>
          <w:szCs w:val="24"/>
        </w:rPr>
        <w:t xml:space="preserve"> </w:t>
      </w:r>
      <w:r w:rsidR="00934822" w:rsidRPr="005A65D5">
        <w:rPr>
          <w:rFonts w:cs="Arial"/>
          <w:i/>
          <w:szCs w:val="24"/>
        </w:rPr>
        <w:t>Business Rates resource</w:t>
      </w:r>
      <w:r w:rsidRPr="005A65D5">
        <w:rPr>
          <w:rFonts w:cs="Arial"/>
          <w:i/>
          <w:szCs w:val="24"/>
        </w:rPr>
        <w:t>s</w:t>
      </w:r>
    </w:p>
    <w:p w:rsidR="007A02AF" w:rsidRPr="005A65D5" w:rsidRDefault="007A02AF" w:rsidP="004321DB">
      <w:pPr>
        <w:spacing w:after="0"/>
        <w:jc w:val="both"/>
        <w:rPr>
          <w:rFonts w:cs="Arial"/>
          <w:i/>
          <w:szCs w:val="24"/>
        </w:rPr>
      </w:pPr>
    </w:p>
    <w:p w:rsidR="007A02AF" w:rsidRDefault="00934822" w:rsidP="004321DB">
      <w:pPr>
        <w:spacing w:after="0"/>
        <w:jc w:val="both"/>
        <w:rPr>
          <w:rFonts w:cs="Arial"/>
          <w:szCs w:val="24"/>
        </w:rPr>
      </w:pPr>
      <w:r w:rsidRPr="005A65D5">
        <w:rPr>
          <w:rFonts w:cs="Arial"/>
          <w:szCs w:val="24"/>
        </w:rPr>
        <w:t xml:space="preserve">From 2013/14 an element of the </w:t>
      </w:r>
      <w:r w:rsidR="007E4110">
        <w:rPr>
          <w:rFonts w:cs="Arial"/>
          <w:szCs w:val="24"/>
        </w:rPr>
        <w:t xml:space="preserve">County </w:t>
      </w:r>
      <w:r w:rsidRPr="005A65D5">
        <w:rPr>
          <w:rFonts w:cs="Arial"/>
          <w:szCs w:val="24"/>
        </w:rPr>
        <w:t>Council</w:t>
      </w:r>
      <w:r w:rsidR="007E4110">
        <w:rPr>
          <w:rFonts w:cs="Arial"/>
          <w:szCs w:val="24"/>
        </w:rPr>
        <w:t>'</w:t>
      </w:r>
      <w:r w:rsidRPr="005A65D5">
        <w:rPr>
          <w:rFonts w:cs="Arial"/>
          <w:szCs w:val="24"/>
        </w:rPr>
        <w:t>s fun</w:t>
      </w:r>
      <w:r w:rsidR="00661624" w:rsidRPr="005A65D5">
        <w:rPr>
          <w:rFonts w:cs="Arial"/>
          <w:szCs w:val="24"/>
        </w:rPr>
        <w:t>d</w:t>
      </w:r>
      <w:r w:rsidRPr="005A65D5">
        <w:rPr>
          <w:rFonts w:cs="Arial"/>
          <w:szCs w:val="24"/>
        </w:rPr>
        <w:t xml:space="preserve">ing is </w:t>
      </w:r>
      <w:r w:rsidR="00661624" w:rsidRPr="005A65D5">
        <w:rPr>
          <w:rFonts w:cs="Arial"/>
          <w:szCs w:val="24"/>
        </w:rPr>
        <w:t xml:space="preserve">received from the locally retained element of Business Rates collected by the </w:t>
      </w:r>
      <w:r w:rsidR="002D74F2">
        <w:rPr>
          <w:rFonts w:cs="Arial"/>
          <w:szCs w:val="24"/>
        </w:rPr>
        <w:t xml:space="preserve">District </w:t>
      </w:r>
      <w:r w:rsidR="00661624" w:rsidRPr="005A65D5">
        <w:rPr>
          <w:rFonts w:cs="Arial"/>
          <w:szCs w:val="24"/>
        </w:rPr>
        <w:t xml:space="preserve">Councils. Following the receipt of the forecast for this </w:t>
      </w:r>
      <w:r w:rsidR="00DD20CF" w:rsidRPr="005A65D5">
        <w:rPr>
          <w:rFonts w:cs="Arial"/>
          <w:szCs w:val="24"/>
        </w:rPr>
        <w:t>income for 201</w:t>
      </w:r>
      <w:r w:rsidR="00D75FD2" w:rsidRPr="005A65D5">
        <w:rPr>
          <w:rFonts w:cs="Arial"/>
          <w:szCs w:val="24"/>
        </w:rPr>
        <w:t>6</w:t>
      </w:r>
      <w:r w:rsidR="00DD20CF" w:rsidRPr="005A65D5">
        <w:rPr>
          <w:rFonts w:cs="Arial"/>
          <w:szCs w:val="24"/>
        </w:rPr>
        <w:t>/1</w:t>
      </w:r>
      <w:r w:rsidR="00D75FD2" w:rsidRPr="005A65D5">
        <w:rPr>
          <w:rFonts w:cs="Arial"/>
          <w:szCs w:val="24"/>
        </w:rPr>
        <w:t>7</w:t>
      </w:r>
      <w:r w:rsidR="00661624" w:rsidRPr="005A65D5">
        <w:rPr>
          <w:rFonts w:cs="Arial"/>
          <w:szCs w:val="24"/>
        </w:rPr>
        <w:t xml:space="preserve"> </w:t>
      </w:r>
      <w:r w:rsidR="002D74F2">
        <w:rPr>
          <w:rFonts w:cs="Arial"/>
          <w:szCs w:val="24"/>
        </w:rPr>
        <w:t xml:space="preserve">from the District Councils, </w:t>
      </w:r>
      <w:r w:rsidR="00800174" w:rsidRPr="005A65D5">
        <w:rPr>
          <w:rFonts w:cs="Arial"/>
          <w:szCs w:val="24"/>
        </w:rPr>
        <w:t xml:space="preserve">it is estimated </w:t>
      </w:r>
      <w:r w:rsidR="007E4110">
        <w:rPr>
          <w:rFonts w:cs="Arial"/>
          <w:szCs w:val="24"/>
        </w:rPr>
        <w:t xml:space="preserve">that </w:t>
      </w:r>
      <w:r w:rsidR="00800174" w:rsidRPr="005A65D5">
        <w:rPr>
          <w:rFonts w:cs="Arial"/>
          <w:szCs w:val="24"/>
        </w:rPr>
        <w:t xml:space="preserve">the </w:t>
      </w:r>
      <w:r w:rsidR="007E4110">
        <w:rPr>
          <w:rFonts w:cs="Arial"/>
          <w:szCs w:val="24"/>
        </w:rPr>
        <w:t xml:space="preserve">County </w:t>
      </w:r>
      <w:r w:rsidR="00800174" w:rsidRPr="005A65D5">
        <w:rPr>
          <w:rFonts w:cs="Arial"/>
          <w:szCs w:val="24"/>
        </w:rPr>
        <w:t>Council will receive funding of £</w:t>
      </w:r>
      <w:r w:rsidR="00D75FD2" w:rsidRPr="005A65D5">
        <w:rPr>
          <w:rFonts w:cs="Arial"/>
          <w:szCs w:val="24"/>
        </w:rPr>
        <w:t>177.983</w:t>
      </w:r>
      <w:r w:rsidR="003B4292" w:rsidRPr="005A65D5">
        <w:rPr>
          <w:rFonts w:cs="Arial"/>
          <w:szCs w:val="24"/>
        </w:rPr>
        <w:t>m</w:t>
      </w:r>
      <w:r w:rsidR="007E4110">
        <w:rPr>
          <w:rFonts w:cs="Arial"/>
          <w:szCs w:val="24"/>
        </w:rPr>
        <w:t xml:space="preserve"> from Business R</w:t>
      </w:r>
      <w:r w:rsidR="00800174" w:rsidRPr="005A65D5">
        <w:rPr>
          <w:rFonts w:cs="Arial"/>
          <w:szCs w:val="24"/>
        </w:rPr>
        <w:t>ates</w:t>
      </w:r>
      <w:r w:rsidR="000326F0">
        <w:rPr>
          <w:rFonts w:cs="Arial"/>
          <w:szCs w:val="24"/>
        </w:rPr>
        <w:t xml:space="preserve"> (including top up grant)</w:t>
      </w:r>
      <w:r w:rsidR="00800174" w:rsidRPr="005A65D5">
        <w:rPr>
          <w:rFonts w:cs="Arial"/>
          <w:szCs w:val="24"/>
        </w:rPr>
        <w:t xml:space="preserve"> </w:t>
      </w:r>
      <w:r w:rsidR="00953D0D" w:rsidRPr="005A65D5">
        <w:rPr>
          <w:rFonts w:cs="Arial"/>
          <w:szCs w:val="24"/>
        </w:rPr>
        <w:t xml:space="preserve">and Small Business Rates Relief </w:t>
      </w:r>
      <w:r w:rsidR="00800174" w:rsidRPr="005A65D5">
        <w:rPr>
          <w:rFonts w:cs="Arial"/>
          <w:szCs w:val="24"/>
        </w:rPr>
        <w:t>in 201</w:t>
      </w:r>
      <w:r w:rsidR="00D75FD2" w:rsidRPr="005A65D5">
        <w:rPr>
          <w:rFonts w:cs="Arial"/>
          <w:szCs w:val="24"/>
        </w:rPr>
        <w:t>6</w:t>
      </w:r>
      <w:r w:rsidR="00800174" w:rsidRPr="005A65D5">
        <w:rPr>
          <w:rFonts w:cs="Arial"/>
          <w:szCs w:val="24"/>
        </w:rPr>
        <w:t>/1</w:t>
      </w:r>
      <w:r w:rsidR="00D75FD2" w:rsidRPr="005A65D5">
        <w:rPr>
          <w:rFonts w:cs="Arial"/>
          <w:szCs w:val="24"/>
        </w:rPr>
        <w:t>7</w:t>
      </w:r>
      <w:r w:rsidR="00800174" w:rsidRPr="005A65D5">
        <w:rPr>
          <w:rFonts w:cs="Arial"/>
          <w:szCs w:val="24"/>
        </w:rPr>
        <w:t>.</w:t>
      </w:r>
    </w:p>
    <w:p w:rsidR="00934822" w:rsidRPr="005A65D5" w:rsidRDefault="00800174" w:rsidP="004321DB">
      <w:pPr>
        <w:spacing w:after="0"/>
        <w:jc w:val="both"/>
        <w:rPr>
          <w:rFonts w:cs="Arial"/>
          <w:szCs w:val="24"/>
        </w:rPr>
      </w:pPr>
      <w:r w:rsidRPr="005A65D5">
        <w:rPr>
          <w:rFonts w:cs="Arial"/>
          <w:szCs w:val="24"/>
        </w:rPr>
        <w:t xml:space="preserve"> </w:t>
      </w:r>
    </w:p>
    <w:p w:rsidR="007A02AF" w:rsidRDefault="00953D0D" w:rsidP="004321DB">
      <w:pPr>
        <w:spacing w:after="0"/>
        <w:jc w:val="both"/>
        <w:rPr>
          <w:rFonts w:cs="Arial"/>
          <w:szCs w:val="24"/>
        </w:rPr>
      </w:pPr>
      <w:r w:rsidRPr="005A65D5">
        <w:rPr>
          <w:rFonts w:cs="Arial"/>
          <w:szCs w:val="24"/>
        </w:rPr>
        <w:t>Information</w:t>
      </w:r>
      <w:r w:rsidR="00947699" w:rsidRPr="005A65D5">
        <w:rPr>
          <w:rFonts w:cs="Arial"/>
          <w:szCs w:val="24"/>
        </w:rPr>
        <w:t xml:space="preserve"> received from</w:t>
      </w:r>
      <w:r w:rsidR="004C0F29" w:rsidRPr="005A65D5">
        <w:rPr>
          <w:rFonts w:cs="Arial"/>
          <w:szCs w:val="24"/>
        </w:rPr>
        <w:t xml:space="preserve"> </w:t>
      </w:r>
      <w:r w:rsidRPr="005A65D5">
        <w:rPr>
          <w:rFonts w:cs="Arial"/>
          <w:szCs w:val="24"/>
        </w:rPr>
        <w:t xml:space="preserve">the </w:t>
      </w:r>
      <w:r w:rsidR="002D74F2">
        <w:rPr>
          <w:rFonts w:cs="Arial"/>
          <w:szCs w:val="24"/>
        </w:rPr>
        <w:t>Districts</w:t>
      </w:r>
      <w:r w:rsidR="00947699" w:rsidRPr="005A65D5">
        <w:rPr>
          <w:rFonts w:cs="Arial"/>
          <w:szCs w:val="24"/>
        </w:rPr>
        <w:t xml:space="preserve"> ha</w:t>
      </w:r>
      <w:r w:rsidRPr="005A65D5">
        <w:rPr>
          <w:rFonts w:cs="Arial"/>
          <w:szCs w:val="24"/>
        </w:rPr>
        <w:t>s</w:t>
      </w:r>
      <w:r w:rsidR="00947699" w:rsidRPr="005A65D5">
        <w:rPr>
          <w:rFonts w:cs="Arial"/>
          <w:szCs w:val="24"/>
        </w:rPr>
        <w:t xml:space="preserve"> confirmed a </w:t>
      </w:r>
      <w:r w:rsidR="0088407A" w:rsidRPr="00F71CDE">
        <w:rPr>
          <w:rFonts w:cs="Arial"/>
          <w:szCs w:val="24"/>
        </w:rPr>
        <w:t>deficit</w:t>
      </w:r>
      <w:r w:rsidR="008E4942" w:rsidRPr="005A65D5">
        <w:rPr>
          <w:rFonts w:cs="Arial"/>
          <w:szCs w:val="24"/>
        </w:rPr>
        <w:t xml:space="preserve"> </w:t>
      </w:r>
      <w:r w:rsidR="000E3432">
        <w:rPr>
          <w:rFonts w:cs="Arial"/>
          <w:szCs w:val="24"/>
        </w:rPr>
        <w:t xml:space="preserve">in 2015/16 </w:t>
      </w:r>
      <w:r w:rsidR="008E4942" w:rsidRPr="005A65D5">
        <w:rPr>
          <w:rFonts w:cs="Arial"/>
          <w:szCs w:val="24"/>
        </w:rPr>
        <w:t xml:space="preserve">on </w:t>
      </w:r>
      <w:r w:rsidR="000E3432">
        <w:rPr>
          <w:rFonts w:cs="Arial"/>
          <w:szCs w:val="24"/>
        </w:rPr>
        <w:t xml:space="preserve">the Business Rates </w:t>
      </w:r>
      <w:r w:rsidR="008E4942" w:rsidRPr="005A65D5">
        <w:rPr>
          <w:rFonts w:cs="Arial"/>
          <w:szCs w:val="24"/>
        </w:rPr>
        <w:t xml:space="preserve">collection </w:t>
      </w:r>
      <w:r w:rsidR="00947699" w:rsidRPr="005A65D5">
        <w:rPr>
          <w:rFonts w:cs="Arial"/>
          <w:szCs w:val="24"/>
        </w:rPr>
        <w:t xml:space="preserve">of </w:t>
      </w:r>
      <w:r w:rsidR="00947699" w:rsidRPr="00F71CDE">
        <w:rPr>
          <w:rFonts w:cs="Arial"/>
          <w:szCs w:val="24"/>
        </w:rPr>
        <w:t>£</w:t>
      </w:r>
      <w:r w:rsidR="00F71CDE" w:rsidRPr="00F71CDE">
        <w:rPr>
          <w:rFonts w:cs="Arial"/>
          <w:szCs w:val="24"/>
        </w:rPr>
        <w:t>2.334</w:t>
      </w:r>
      <w:r w:rsidR="00947699" w:rsidRPr="00F71CDE">
        <w:rPr>
          <w:rFonts w:cs="Arial"/>
          <w:szCs w:val="24"/>
        </w:rPr>
        <w:t>m</w:t>
      </w:r>
      <w:r w:rsidR="00947699" w:rsidRPr="005A65D5">
        <w:rPr>
          <w:rFonts w:cs="Arial"/>
          <w:szCs w:val="24"/>
        </w:rPr>
        <w:t>.</w:t>
      </w:r>
      <w:r w:rsidR="002D74F2">
        <w:rPr>
          <w:rFonts w:cs="Arial"/>
          <w:szCs w:val="24"/>
        </w:rPr>
        <w:t xml:space="preserve"> This will </w:t>
      </w:r>
      <w:r w:rsidR="000326F0">
        <w:rPr>
          <w:rFonts w:cs="Arial"/>
          <w:szCs w:val="24"/>
        </w:rPr>
        <w:t>reduce the one-off resources as shown in Table 6.</w:t>
      </w:r>
    </w:p>
    <w:p w:rsidR="00947699" w:rsidRPr="005A65D5" w:rsidRDefault="009B7385" w:rsidP="004321DB">
      <w:pPr>
        <w:spacing w:after="0"/>
        <w:jc w:val="both"/>
        <w:rPr>
          <w:rFonts w:cs="Arial"/>
          <w:szCs w:val="24"/>
        </w:rPr>
      </w:pPr>
      <w:r w:rsidRPr="005A65D5">
        <w:rPr>
          <w:rFonts w:cs="Arial"/>
          <w:szCs w:val="24"/>
        </w:rPr>
        <w:t xml:space="preserve"> </w:t>
      </w:r>
    </w:p>
    <w:p w:rsidR="00D75FD2" w:rsidRPr="007A02AF" w:rsidRDefault="00317423" w:rsidP="004321DB">
      <w:pPr>
        <w:spacing w:after="0"/>
        <w:jc w:val="both"/>
        <w:rPr>
          <w:rFonts w:cs="Arial"/>
          <w:i/>
          <w:szCs w:val="24"/>
        </w:rPr>
      </w:pPr>
      <w:r>
        <w:rPr>
          <w:rFonts w:cs="Arial"/>
          <w:i/>
          <w:szCs w:val="24"/>
        </w:rPr>
        <w:t xml:space="preserve">5.4 </w:t>
      </w:r>
      <w:r w:rsidR="00D75FD2" w:rsidRPr="007A02AF">
        <w:rPr>
          <w:rFonts w:cs="Arial"/>
          <w:i/>
          <w:szCs w:val="24"/>
        </w:rPr>
        <w:t xml:space="preserve">Capital </w:t>
      </w:r>
      <w:r w:rsidR="00351D95">
        <w:rPr>
          <w:rFonts w:cs="Arial"/>
          <w:i/>
          <w:szCs w:val="24"/>
        </w:rPr>
        <w:t>r</w:t>
      </w:r>
      <w:r w:rsidR="00D75FD2" w:rsidRPr="007A02AF">
        <w:rPr>
          <w:rFonts w:cs="Arial"/>
          <w:i/>
          <w:szCs w:val="24"/>
        </w:rPr>
        <w:t>eceipts</w:t>
      </w:r>
    </w:p>
    <w:p w:rsidR="007A02AF" w:rsidRPr="005A65D5" w:rsidRDefault="007A02AF" w:rsidP="004321DB">
      <w:pPr>
        <w:spacing w:after="0"/>
        <w:jc w:val="both"/>
        <w:rPr>
          <w:rFonts w:cs="Arial"/>
          <w:szCs w:val="24"/>
        </w:rPr>
      </w:pPr>
    </w:p>
    <w:p w:rsidR="00852A93" w:rsidRPr="005A65D5" w:rsidRDefault="00D75FD2" w:rsidP="004321DB">
      <w:pPr>
        <w:tabs>
          <w:tab w:val="left" w:pos="567"/>
          <w:tab w:val="left" w:pos="1134"/>
        </w:tabs>
        <w:spacing w:after="0"/>
        <w:jc w:val="both"/>
        <w:rPr>
          <w:rFonts w:cs="Arial"/>
          <w:szCs w:val="24"/>
        </w:rPr>
      </w:pPr>
      <w:r w:rsidRPr="005A65D5">
        <w:rPr>
          <w:rFonts w:cs="Arial"/>
          <w:szCs w:val="24"/>
        </w:rPr>
        <w:t xml:space="preserve">In previous years the use of capital receipts (income derived from the sale of long term assets) has been restricted to funding capital expenditure or the repayment of debt. However, from </w:t>
      </w:r>
      <w:r w:rsidR="00852A93" w:rsidRPr="005A65D5">
        <w:rPr>
          <w:rFonts w:cs="Arial"/>
          <w:szCs w:val="24"/>
        </w:rPr>
        <w:t>1</w:t>
      </w:r>
      <w:r w:rsidR="007E4110" w:rsidRPr="007E4110">
        <w:rPr>
          <w:rFonts w:cs="Arial"/>
          <w:szCs w:val="24"/>
          <w:vertAlign w:val="superscript"/>
        </w:rPr>
        <w:t>st</w:t>
      </w:r>
      <w:r w:rsidR="007E4110">
        <w:rPr>
          <w:rFonts w:cs="Arial"/>
          <w:szCs w:val="24"/>
        </w:rPr>
        <w:t xml:space="preserve"> </w:t>
      </w:r>
      <w:r w:rsidR="007A02AF">
        <w:rPr>
          <w:rFonts w:cs="Arial"/>
          <w:szCs w:val="24"/>
        </w:rPr>
        <w:t xml:space="preserve">April 2016 the Government has </w:t>
      </w:r>
      <w:r w:rsidR="000E3432">
        <w:rPr>
          <w:rFonts w:cs="Arial"/>
          <w:szCs w:val="24"/>
        </w:rPr>
        <w:t xml:space="preserve">proposed that </w:t>
      </w:r>
      <w:r w:rsidR="00852A93" w:rsidRPr="005A65D5">
        <w:rPr>
          <w:rFonts w:cs="Arial"/>
          <w:szCs w:val="24"/>
        </w:rPr>
        <w:t xml:space="preserve">capital receipts can be used to fund revenue expenditure which meets certain criteria. To meet the qualifying criteria the revenue expenditure needs to be </w:t>
      </w:r>
      <w:r w:rsidR="007E4110">
        <w:rPr>
          <w:rFonts w:cs="Arial"/>
          <w:szCs w:val="24"/>
        </w:rPr>
        <w:t>a</w:t>
      </w:r>
      <w:r w:rsidR="00852A93" w:rsidRPr="005A65D5">
        <w:rPr>
          <w:rFonts w:cs="Arial"/>
          <w:szCs w:val="24"/>
        </w:rPr>
        <w:t xml:space="preserve"> project which is designed to generate ongoing rev</w:t>
      </w:r>
      <w:r w:rsidR="007E4110">
        <w:rPr>
          <w:rFonts w:cs="Arial"/>
          <w:szCs w:val="24"/>
        </w:rPr>
        <w:t>enue savings or to transform a</w:t>
      </w:r>
      <w:r w:rsidR="00852A93" w:rsidRPr="005A65D5">
        <w:rPr>
          <w:rFonts w:cs="Arial"/>
          <w:szCs w:val="24"/>
        </w:rPr>
        <w:t xml:space="preserve"> service </w:t>
      </w:r>
      <w:r w:rsidR="00482684">
        <w:rPr>
          <w:rFonts w:cs="Arial"/>
          <w:szCs w:val="24"/>
        </w:rPr>
        <w:t>which result</w:t>
      </w:r>
      <w:r w:rsidR="007E4110">
        <w:rPr>
          <w:rFonts w:cs="Arial"/>
          <w:szCs w:val="24"/>
        </w:rPr>
        <w:t>s</w:t>
      </w:r>
      <w:r w:rsidR="00482684">
        <w:rPr>
          <w:rFonts w:cs="Arial"/>
          <w:szCs w:val="24"/>
        </w:rPr>
        <w:t xml:space="preserve"> in</w:t>
      </w:r>
      <w:r w:rsidR="00D23FFB">
        <w:rPr>
          <w:rFonts w:cs="Arial"/>
          <w:szCs w:val="24"/>
        </w:rPr>
        <w:t xml:space="preserve"> </w:t>
      </w:r>
      <w:r w:rsidR="00482684">
        <w:rPr>
          <w:rFonts w:cs="Arial"/>
          <w:szCs w:val="24"/>
        </w:rPr>
        <w:t>revenue</w:t>
      </w:r>
      <w:r w:rsidR="00852A93" w:rsidRPr="005A65D5">
        <w:rPr>
          <w:rFonts w:cs="Arial"/>
          <w:szCs w:val="24"/>
        </w:rPr>
        <w:t xml:space="preserve"> savings or improve</w:t>
      </w:r>
      <w:r w:rsidR="007E4110">
        <w:rPr>
          <w:rFonts w:cs="Arial"/>
          <w:szCs w:val="24"/>
        </w:rPr>
        <w:t>ments in</w:t>
      </w:r>
      <w:r w:rsidR="00852A93" w:rsidRPr="005A65D5">
        <w:rPr>
          <w:rFonts w:cs="Arial"/>
          <w:szCs w:val="24"/>
        </w:rPr>
        <w:t xml:space="preserve"> the quality of provision.</w:t>
      </w:r>
    </w:p>
    <w:p w:rsidR="00852A93" w:rsidRPr="005A65D5" w:rsidRDefault="00852A93" w:rsidP="004321DB">
      <w:pPr>
        <w:tabs>
          <w:tab w:val="left" w:pos="567"/>
          <w:tab w:val="left" w:pos="1134"/>
        </w:tabs>
        <w:spacing w:after="0"/>
        <w:jc w:val="both"/>
        <w:rPr>
          <w:rFonts w:cs="Arial"/>
          <w:szCs w:val="24"/>
        </w:rPr>
      </w:pPr>
    </w:p>
    <w:p w:rsidR="007E4110" w:rsidRDefault="00852A93" w:rsidP="004321DB">
      <w:pPr>
        <w:tabs>
          <w:tab w:val="left" w:pos="567"/>
          <w:tab w:val="left" w:pos="1134"/>
        </w:tabs>
        <w:spacing w:after="0"/>
        <w:jc w:val="both"/>
        <w:rPr>
          <w:rFonts w:cs="Arial"/>
          <w:szCs w:val="24"/>
        </w:rPr>
      </w:pPr>
      <w:r w:rsidRPr="005A65D5">
        <w:rPr>
          <w:rFonts w:cs="Arial"/>
          <w:szCs w:val="24"/>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w:t>
      </w:r>
      <w:r w:rsidR="007E4110">
        <w:rPr>
          <w:rFonts w:cs="Arial"/>
          <w:szCs w:val="24"/>
        </w:rPr>
        <w:t xml:space="preserve">service </w:t>
      </w:r>
      <w:r w:rsidRPr="005A65D5">
        <w:rPr>
          <w:rFonts w:cs="Arial"/>
          <w:szCs w:val="24"/>
        </w:rPr>
        <w:t xml:space="preserve">reform. </w:t>
      </w:r>
    </w:p>
    <w:p w:rsidR="007E4110" w:rsidRDefault="007E4110" w:rsidP="004321DB">
      <w:pPr>
        <w:tabs>
          <w:tab w:val="left" w:pos="567"/>
          <w:tab w:val="left" w:pos="1134"/>
        </w:tabs>
        <w:spacing w:after="0"/>
        <w:jc w:val="both"/>
        <w:rPr>
          <w:rFonts w:cs="Arial"/>
          <w:szCs w:val="24"/>
        </w:rPr>
      </w:pPr>
    </w:p>
    <w:p w:rsidR="00852A93" w:rsidRDefault="001D0484" w:rsidP="004321DB">
      <w:pPr>
        <w:tabs>
          <w:tab w:val="left" w:pos="567"/>
          <w:tab w:val="left" w:pos="1134"/>
        </w:tabs>
        <w:spacing w:after="0"/>
        <w:jc w:val="both"/>
        <w:rPr>
          <w:rFonts w:cs="Arial"/>
          <w:szCs w:val="24"/>
        </w:rPr>
      </w:pPr>
      <w:r>
        <w:rPr>
          <w:rFonts w:cs="Arial"/>
          <w:szCs w:val="24"/>
        </w:rPr>
        <w:t>The c</w:t>
      </w:r>
      <w:r w:rsidR="00852A93" w:rsidRPr="005A65D5">
        <w:rPr>
          <w:rFonts w:cs="Arial"/>
          <w:szCs w:val="24"/>
        </w:rPr>
        <w:t>urrent estimates of the capital receipts to be generated are</w:t>
      </w:r>
      <w:r w:rsidR="007E4110">
        <w:rPr>
          <w:rFonts w:cs="Arial"/>
          <w:szCs w:val="24"/>
        </w:rPr>
        <w:t xml:space="preserve"> as follows</w:t>
      </w:r>
      <w:r w:rsidR="00852A93" w:rsidRPr="005A65D5">
        <w:rPr>
          <w:rFonts w:cs="Arial"/>
          <w:szCs w:val="24"/>
        </w:rPr>
        <w:t>:</w:t>
      </w:r>
    </w:p>
    <w:p w:rsidR="000326F0" w:rsidRDefault="000326F0">
      <w:pPr>
        <w:rPr>
          <w:rFonts w:cs="Arial"/>
          <w:b/>
          <w:szCs w:val="24"/>
        </w:rPr>
      </w:pPr>
      <w:r>
        <w:rPr>
          <w:rFonts w:cs="Arial"/>
          <w:b/>
          <w:szCs w:val="24"/>
        </w:rPr>
        <w:br w:type="page"/>
      </w:r>
    </w:p>
    <w:p w:rsidR="0043791F" w:rsidRDefault="0043791F" w:rsidP="004321DB">
      <w:pPr>
        <w:tabs>
          <w:tab w:val="left" w:pos="567"/>
          <w:tab w:val="left" w:pos="1134"/>
        </w:tabs>
        <w:spacing w:after="0"/>
        <w:jc w:val="both"/>
        <w:rPr>
          <w:rFonts w:cs="Arial"/>
          <w:b/>
          <w:szCs w:val="24"/>
        </w:rPr>
      </w:pPr>
    </w:p>
    <w:p w:rsidR="00852A93" w:rsidRPr="00482684" w:rsidRDefault="00482684" w:rsidP="004321DB">
      <w:pPr>
        <w:tabs>
          <w:tab w:val="left" w:pos="567"/>
          <w:tab w:val="left" w:pos="1134"/>
        </w:tabs>
        <w:spacing w:after="0"/>
        <w:jc w:val="both"/>
        <w:rPr>
          <w:rFonts w:cs="Arial"/>
          <w:b/>
          <w:szCs w:val="24"/>
        </w:rPr>
      </w:pPr>
      <w:r w:rsidRPr="00482684">
        <w:rPr>
          <w:rFonts w:cs="Arial"/>
          <w:b/>
          <w:szCs w:val="24"/>
        </w:rPr>
        <w:t>Table 4</w:t>
      </w:r>
    </w:p>
    <w:tbl>
      <w:tblPr>
        <w:tblStyle w:val="TableGrid"/>
        <w:tblW w:w="0" w:type="auto"/>
        <w:tblLook w:val="04A0" w:firstRow="1" w:lastRow="0" w:firstColumn="1" w:lastColumn="0" w:noHBand="0" w:noVBand="1"/>
      </w:tblPr>
      <w:tblGrid>
        <w:gridCol w:w="2094"/>
        <w:gridCol w:w="1730"/>
        <w:gridCol w:w="1731"/>
        <w:gridCol w:w="1730"/>
        <w:gridCol w:w="1731"/>
      </w:tblGrid>
      <w:tr w:rsidR="000E3432" w:rsidRPr="004321DB" w:rsidTr="000E3432">
        <w:trPr>
          <w:trHeight w:val="275"/>
        </w:trPr>
        <w:tc>
          <w:tcPr>
            <w:tcW w:w="2094" w:type="dxa"/>
            <w:shd w:val="clear" w:color="auto" w:fill="BFBFBF" w:themeFill="background1" w:themeFillShade="BF"/>
          </w:tcPr>
          <w:p w:rsidR="000E3432" w:rsidRPr="004321DB" w:rsidRDefault="000E3432" w:rsidP="004321DB">
            <w:pPr>
              <w:tabs>
                <w:tab w:val="left" w:pos="567"/>
                <w:tab w:val="left" w:pos="1134"/>
              </w:tabs>
              <w:spacing w:line="276" w:lineRule="auto"/>
              <w:jc w:val="center"/>
              <w:rPr>
                <w:rFonts w:cs="Arial"/>
                <w:b/>
                <w:sz w:val="22"/>
              </w:rPr>
            </w:pPr>
          </w:p>
        </w:tc>
        <w:tc>
          <w:tcPr>
            <w:tcW w:w="1730" w:type="dxa"/>
            <w:shd w:val="clear" w:color="auto" w:fill="BFBFBF" w:themeFill="background1" w:themeFillShade="BF"/>
            <w:vAlign w:val="center"/>
          </w:tcPr>
          <w:p w:rsidR="000E3432" w:rsidRPr="004321DB" w:rsidRDefault="000E3432" w:rsidP="004321DB">
            <w:pPr>
              <w:tabs>
                <w:tab w:val="left" w:pos="567"/>
                <w:tab w:val="left" w:pos="1134"/>
              </w:tabs>
              <w:spacing w:line="276" w:lineRule="auto"/>
              <w:jc w:val="center"/>
              <w:rPr>
                <w:rFonts w:cs="Arial"/>
                <w:b/>
                <w:sz w:val="22"/>
              </w:rPr>
            </w:pPr>
            <w:r w:rsidRPr="004321DB">
              <w:rPr>
                <w:rFonts w:cs="Arial"/>
                <w:b/>
                <w:sz w:val="22"/>
              </w:rPr>
              <w:t>2016/17</w:t>
            </w:r>
          </w:p>
          <w:p w:rsidR="000E3432" w:rsidRPr="004321DB" w:rsidRDefault="000E3432" w:rsidP="004321DB">
            <w:pPr>
              <w:tabs>
                <w:tab w:val="left" w:pos="567"/>
                <w:tab w:val="left" w:pos="1134"/>
              </w:tabs>
              <w:spacing w:line="276" w:lineRule="auto"/>
              <w:jc w:val="center"/>
              <w:rPr>
                <w:rFonts w:cs="Arial"/>
                <w:b/>
                <w:sz w:val="22"/>
              </w:rPr>
            </w:pPr>
            <w:r w:rsidRPr="004321DB">
              <w:rPr>
                <w:rFonts w:cs="Arial"/>
                <w:b/>
                <w:sz w:val="22"/>
              </w:rPr>
              <w:t>£m</w:t>
            </w:r>
          </w:p>
        </w:tc>
        <w:tc>
          <w:tcPr>
            <w:tcW w:w="1731" w:type="dxa"/>
            <w:shd w:val="clear" w:color="auto" w:fill="BFBFBF" w:themeFill="background1" w:themeFillShade="BF"/>
            <w:vAlign w:val="center"/>
          </w:tcPr>
          <w:p w:rsidR="000E3432" w:rsidRPr="004321DB" w:rsidRDefault="000E3432" w:rsidP="004321DB">
            <w:pPr>
              <w:tabs>
                <w:tab w:val="left" w:pos="567"/>
                <w:tab w:val="left" w:pos="1134"/>
              </w:tabs>
              <w:spacing w:line="276" w:lineRule="auto"/>
              <w:jc w:val="center"/>
              <w:rPr>
                <w:rFonts w:cs="Arial"/>
                <w:b/>
                <w:sz w:val="22"/>
              </w:rPr>
            </w:pPr>
            <w:r w:rsidRPr="004321DB">
              <w:rPr>
                <w:rFonts w:cs="Arial"/>
                <w:b/>
                <w:sz w:val="22"/>
              </w:rPr>
              <w:t>2017/18</w:t>
            </w:r>
          </w:p>
          <w:p w:rsidR="000E3432" w:rsidRPr="004321DB" w:rsidRDefault="000E3432" w:rsidP="004321DB">
            <w:pPr>
              <w:tabs>
                <w:tab w:val="left" w:pos="567"/>
                <w:tab w:val="left" w:pos="1134"/>
              </w:tabs>
              <w:spacing w:line="276" w:lineRule="auto"/>
              <w:jc w:val="center"/>
              <w:rPr>
                <w:rFonts w:cs="Arial"/>
                <w:b/>
                <w:sz w:val="22"/>
              </w:rPr>
            </w:pPr>
            <w:r w:rsidRPr="004321DB">
              <w:rPr>
                <w:rFonts w:cs="Arial"/>
                <w:b/>
                <w:sz w:val="22"/>
              </w:rPr>
              <w:t>£m</w:t>
            </w:r>
          </w:p>
        </w:tc>
        <w:tc>
          <w:tcPr>
            <w:tcW w:w="1730" w:type="dxa"/>
            <w:shd w:val="clear" w:color="auto" w:fill="BFBFBF" w:themeFill="background1" w:themeFillShade="BF"/>
            <w:vAlign w:val="center"/>
          </w:tcPr>
          <w:p w:rsidR="000E3432" w:rsidRPr="004321DB" w:rsidRDefault="000E3432" w:rsidP="004321DB">
            <w:pPr>
              <w:tabs>
                <w:tab w:val="left" w:pos="567"/>
                <w:tab w:val="left" w:pos="1134"/>
              </w:tabs>
              <w:spacing w:line="276" w:lineRule="auto"/>
              <w:jc w:val="center"/>
              <w:rPr>
                <w:rFonts w:cs="Arial"/>
                <w:b/>
                <w:sz w:val="22"/>
              </w:rPr>
            </w:pPr>
            <w:r w:rsidRPr="004321DB">
              <w:rPr>
                <w:rFonts w:cs="Arial"/>
                <w:b/>
                <w:sz w:val="22"/>
              </w:rPr>
              <w:t>2018/19</w:t>
            </w:r>
          </w:p>
          <w:p w:rsidR="000E3432" w:rsidRPr="004321DB" w:rsidRDefault="000E3432" w:rsidP="004321DB">
            <w:pPr>
              <w:tabs>
                <w:tab w:val="left" w:pos="567"/>
                <w:tab w:val="left" w:pos="1134"/>
              </w:tabs>
              <w:spacing w:line="276" w:lineRule="auto"/>
              <w:jc w:val="center"/>
              <w:rPr>
                <w:rFonts w:cs="Arial"/>
                <w:b/>
                <w:sz w:val="22"/>
              </w:rPr>
            </w:pPr>
            <w:r w:rsidRPr="004321DB">
              <w:rPr>
                <w:rFonts w:cs="Arial"/>
                <w:b/>
                <w:sz w:val="22"/>
              </w:rPr>
              <w:t>£m</w:t>
            </w:r>
          </w:p>
        </w:tc>
        <w:tc>
          <w:tcPr>
            <w:tcW w:w="1731" w:type="dxa"/>
            <w:shd w:val="clear" w:color="auto" w:fill="BFBFBF" w:themeFill="background1" w:themeFillShade="BF"/>
            <w:vAlign w:val="center"/>
          </w:tcPr>
          <w:p w:rsidR="000E3432" w:rsidRDefault="000E3432" w:rsidP="004321DB">
            <w:pPr>
              <w:tabs>
                <w:tab w:val="left" w:pos="567"/>
                <w:tab w:val="left" w:pos="1134"/>
              </w:tabs>
              <w:jc w:val="center"/>
              <w:rPr>
                <w:rFonts w:cs="Arial"/>
                <w:b/>
                <w:sz w:val="22"/>
              </w:rPr>
            </w:pPr>
            <w:r>
              <w:rPr>
                <w:rFonts w:cs="Arial"/>
                <w:b/>
                <w:sz w:val="22"/>
              </w:rPr>
              <w:t>Total</w:t>
            </w:r>
          </w:p>
          <w:p w:rsidR="000E3432" w:rsidRPr="004321DB" w:rsidRDefault="000E3432" w:rsidP="004321DB">
            <w:pPr>
              <w:tabs>
                <w:tab w:val="left" w:pos="567"/>
                <w:tab w:val="left" w:pos="1134"/>
              </w:tabs>
              <w:jc w:val="center"/>
              <w:rPr>
                <w:rFonts w:cs="Arial"/>
                <w:b/>
                <w:sz w:val="22"/>
              </w:rPr>
            </w:pPr>
            <w:r>
              <w:rPr>
                <w:rFonts w:cs="Arial"/>
                <w:b/>
                <w:sz w:val="22"/>
              </w:rPr>
              <w:t>£m</w:t>
            </w:r>
          </w:p>
        </w:tc>
      </w:tr>
      <w:tr w:rsidR="000E3432" w:rsidRPr="004321DB" w:rsidTr="000E3432">
        <w:trPr>
          <w:trHeight w:val="676"/>
        </w:trPr>
        <w:tc>
          <w:tcPr>
            <w:tcW w:w="2094" w:type="dxa"/>
            <w:vAlign w:val="center"/>
          </w:tcPr>
          <w:p w:rsidR="000E3432" w:rsidRPr="004321DB" w:rsidRDefault="000E3432" w:rsidP="004321DB">
            <w:pPr>
              <w:tabs>
                <w:tab w:val="left" w:pos="567"/>
                <w:tab w:val="left" w:pos="1134"/>
              </w:tabs>
              <w:spacing w:line="276" w:lineRule="auto"/>
              <w:rPr>
                <w:rFonts w:cs="Arial"/>
                <w:b/>
                <w:sz w:val="22"/>
              </w:rPr>
            </w:pPr>
            <w:r w:rsidRPr="004321DB">
              <w:rPr>
                <w:rFonts w:cs="Arial"/>
                <w:b/>
                <w:sz w:val="22"/>
              </w:rPr>
              <w:t>Capital receipts generated</w:t>
            </w:r>
          </w:p>
        </w:tc>
        <w:tc>
          <w:tcPr>
            <w:tcW w:w="1730" w:type="dxa"/>
            <w:vAlign w:val="center"/>
          </w:tcPr>
          <w:p w:rsidR="000E3432" w:rsidRPr="004321DB" w:rsidRDefault="000E3432" w:rsidP="004321DB">
            <w:pPr>
              <w:tabs>
                <w:tab w:val="left" w:pos="567"/>
                <w:tab w:val="left" w:pos="1134"/>
              </w:tabs>
              <w:spacing w:line="276" w:lineRule="auto"/>
              <w:jc w:val="center"/>
              <w:rPr>
                <w:rFonts w:cs="Arial"/>
                <w:sz w:val="22"/>
              </w:rPr>
            </w:pPr>
            <w:r w:rsidRPr="004321DB">
              <w:rPr>
                <w:rFonts w:cs="Arial"/>
                <w:sz w:val="22"/>
              </w:rPr>
              <w:t>5.0</w:t>
            </w:r>
          </w:p>
        </w:tc>
        <w:tc>
          <w:tcPr>
            <w:tcW w:w="1731" w:type="dxa"/>
            <w:vAlign w:val="center"/>
          </w:tcPr>
          <w:p w:rsidR="000E3432" w:rsidRPr="004321DB" w:rsidRDefault="000E3432" w:rsidP="004321DB">
            <w:pPr>
              <w:tabs>
                <w:tab w:val="left" w:pos="567"/>
                <w:tab w:val="left" w:pos="1134"/>
              </w:tabs>
              <w:spacing w:line="276" w:lineRule="auto"/>
              <w:jc w:val="center"/>
              <w:rPr>
                <w:rFonts w:cs="Arial"/>
                <w:sz w:val="22"/>
              </w:rPr>
            </w:pPr>
            <w:r w:rsidRPr="004321DB">
              <w:rPr>
                <w:rFonts w:cs="Arial"/>
                <w:sz w:val="22"/>
              </w:rPr>
              <w:t>12.5</w:t>
            </w:r>
          </w:p>
        </w:tc>
        <w:tc>
          <w:tcPr>
            <w:tcW w:w="1730" w:type="dxa"/>
            <w:vAlign w:val="center"/>
          </w:tcPr>
          <w:p w:rsidR="000E3432" w:rsidRPr="004321DB" w:rsidRDefault="000E3432" w:rsidP="004321DB">
            <w:pPr>
              <w:tabs>
                <w:tab w:val="left" w:pos="567"/>
                <w:tab w:val="left" w:pos="1134"/>
              </w:tabs>
              <w:spacing w:line="276" w:lineRule="auto"/>
              <w:jc w:val="center"/>
              <w:rPr>
                <w:rFonts w:cs="Arial"/>
                <w:sz w:val="22"/>
              </w:rPr>
            </w:pPr>
            <w:r w:rsidRPr="004321DB">
              <w:rPr>
                <w:rFonts w:cs="Arial"/>
                <w:sz w:val="22"/>
              </w:rPr>
              <w:t>5.0</w:t>
            </w:r>
          </w:p>
        </w:tc>
        <w:tc>
          <w:tcPr>
            <w:tcW w:w="1731" w:type="dxa"/>
            <w:vAlign w:val="center"/>
          </w:tcPr>
          <w:p w:rsidR="000E3432" w:rsidRPr="004321DB" w:rsidRDefault="000E3432" w:rsidP="004321DB">
            <w:pPr>
              <w:tabs>
                <w:tab w:val="left" w:pos="567"/>
                <w:tab w:val="left" w:pos="1134"/>
              </w:tabs>
              <w:jc w:val="center"/>
              <w:rPr>
                <w:rFonts w:cs="Arial"/>
                <w:sz w:val="22"/>
              </w:rPr>
            </w:pPr>
            <w:r>
              <w:rPr>
                <w:rFonts w:cs="Arial"/>
                <w:sz w:val="22"/>
              </w:rPr>
              <w:t>22.5</w:t>
            </w:r>
          </w:p>
        </w:tc>
      </w:tr>
    </w:tbl>
    <w:p w:rsidR="000326F0" w:rsidRDefault="000326F0" w:rsidP="004321DB">
      <w:pPr>
        <w:tabs>
          <w:tab w:val="left" w:pos="567"/>
          <w:tab w:val="left" w:pos="1134"/>
        </w:tabs>
        <w:spacing w:after="0"/>
        <w:jc w:val="both"/>
        <w:rPr>
          <w:rFonts w:cs="Arial"/>
          <w:szCs w:val="24"/>
        </w:rPr>
      </w:pPr>
    </w:p>
    <w:p w:rsidR="00852A93" w:rsidRPr="005A65D5" w:rsidRDefault="00D0078E" w:rsidP="004321DB">
      <w:pPr>
        <w:tabs>
          <w:tab w:val="left" w:pos="567"/>
          <w:tab w:val="left" w:pos="1134"/>
        </w:tabs>
        <w:spacing w:after="0"/>
        <w:jc w:val="both"/>
        <w:rPr>
          <w:rFonts w:cs="Arial"/>
          <w:szCs w:val="24"/>
        </w:rPr>
      </w:pPr>
      <w:r>
        <w:rPr>
          <w:rFonts w:cs="Arial"/>
          <w:szCs w:val="24"/>
        </w:rPr>
        <w:t>T</w:t>
      </w:r>
      <w:r w:rsidR="00852A93" w:rsidRPr="005A65D5">
        <w:rPr>
          <w:rFonts w:cs="Arial"/>
          <w:szCs w:val="24"/>
        </w:rPr>
        <w:t>here is suitable expenditu</w:t>
      </w:r>
      <w:r w:rsidR="001D0484">
        <w:rPr>
          <w:rFonts w:cs="Arial"/>
          <w:szCs w:val="24"/>
        </w:rPr>
        <w:t xml:space="preserve">re within the revenue budget to </w:t>
      </w:r>
      <w:r w:rsidR="00852A93" w:rsidRPr="005A65D5">
        <w:rPr>
          <w:rFonts w:cs="Arial"/>
          <w:szCs w:val="24"/>
        </w:rPr>
        <w:t>en</w:t>
      </w:r>
      <w:r w:rsidR="007A02AF">
        <w:rPr>
          <w:rFonts w:cs="Arial"/>
          <w:szCs w:val="24"/>
        </w:rPr>
        <w:t xml:space="preserve">able the estimated £22.5m to be </w:t>
      </w:r>
      <w:r w:rsidR="00852A93" w:rsidRPr="005A65D5">
        <w:rPr>
          <w:rFonts w:cs="Arial"/>
          <w:szCs w:val="24"/>
        </w:rPr>
        <w:t xml:space="preserve">applied. </w:t>
      </w:r>
      <w:r w:rsidR="000E3432">
        <w:rPr>
          <w:rFonts w:cs="Arial"/>
          <w:szCs w:val="24"/>
        </w:rPr>
        <w:t xml:space="preserve">These receipts would normally be applied to the Capital Programme. If they are used for revenue, the </w:t>
      </w:r>
      <w:r w:rsidR="00852A93" w:rsidRPr="005A65D5">
        <w:rPr>
          <w:rFonts w:cs="Arial"/>
          <w:szCs w:val="24"/>
        </w:rPr>
        <w:t>Capital Programme will either have to be reduced or be funded from an increased level of borrowing.</w:t>
      </w:r>
    </w:p>
    <w:p w:rsidR="00852A93" w:rsidRPr="005A65D5" w:rsidRDefault="00852A93" w:rsidP="004321DB">
      <w:pPr>
        <w:tabs>
          <w:tab w:val="left" w:pos="567"/>
          <w:tab w:val="left" w:pos="1134"/>
        </w:tabs>
        <w:spacing w:after="0"/>
        <w:jc w:val="both"/>
        <w:rPr>
          <w:rFonts w:cs="Arial"/>
          <w:szCs w:val="24"/>
        </w:rPr>
      </w:pPr>
    </w:p>
    <w:p w:rsidR="007A02AF" w:rsidRDefault="000E3432" w:rsidP="004321DB">
      <w:pPr>
        <w:spacing w:after="0"/>
        <w:jc w:val="both"/>
        <w:rPr>
          <w:rFonts w:cs="Arial"/>
          <w:szCs w:val="24"/>
        </w:rPr>
      </w:pPr>
      <w:r>
        <w:rPr>
          <w:rFonts w:cs="Arial"/>
          <w:szCs w:val="24"/>
        </w:rPr>
        <w:t xml:space="preserve">These </w:t>
      </w:r>
      <w:r w:rsidR="00852A93" w:rsidRPr="005A65D5">
        <w:rPr>
          <w:rFonts w:cs="Arial"/>
          <w:szCs w:val="24"/>
        </w:rPr>
        <w:t xml:space="preserve">receipts are one-off resources and there is a possibility that the level of receipts to be generated from the sale of assets will not be maintained for a sustained period of time. The actual receipts received in any one year will fluctuate in line with local property markets and the type of asset available for sale. Therefore, there is a risk that the receipts actually received will be less than </w:t>
      </w:r>
      <w:r>
        <w:rPr>
          <w:rFonts w:cs="Arial"/>
          <w:szCs w:val="24"/>
        </w:rPr>
        <w:t>estimated.</w:t>
      </w:r>
    </w:p>
    <w:p w:rsidR="000E3432" w:rsidRPr="005A65D5" w:rsidRDefault="000E3432" w:rsidP="004321DB">
      <w:pPr>
        <w:spacing w:after="0"/>
        <w:jc w:val="both"/>
        <w:rPr>
          <w:rFonts w:cs="Arial"/>
          <w:szCs w:val="24"/>
        </w:rPr>
      </w:pPr>
    </w:p>
    <w:p w:rsidR="004C0F29" w:rsidRPr="005A65D5" w:rsidRDefault="004C0F29" w:rsidP="004321DB">
      <w:pPr>
        <w:pStyle w:val="Heading2"/>
        <w:spacing w:line="276" w:lineRule="auto"/>
        <w:jc w:val="both"/>
        <w:rPr>
          <w:b w:val="0"/>
        </w:rPr>
      </w:pPr>
      <w:r w:rsidRPr="005A65D5">
        <w:rPr>
          <w:b w:val="0"/>
        </w:rPr>
        <w:t>5.</w:t>
      </w:r>
      <w:r w:rsidR="00317423">
        <w:rPr>
          <w:b w:val="0"/>
        </w:rPr>
        <w:t xml:space="preserve">5 </w:t>
      </w:r>
      <w:r w:rsidRPr="005A65D5">
        <w:rPr>
          <w:b w:val="0"/>
        </w:rPr>
        <w:t>Specific Grants</w:t>
      </w:r>
      <w:r w:rsidR="005502D3">
        <w:rPr>
          <w:b w:val="0"/>
        </w:rPr>
        <w:t xml:space="preserve"> and contributions</w:t>
      </w:r>
      <w:r w:rsidRPr="005A65D5">
        <w:rPr>
          <w:b w:val="0"/>
        </w:rPr>
        <w:t xml:space="preserve"> to be received </w:t>
      </w:r>
      <w:r w:rsidR="00D75FD2" w:rsidRPr="005A65D5">
        <w:rPr>
          <w:b w:val="0"/>
        </w:rPr>
        <w:t>by the County Council in 2016/17</w:t>
      </w:r>
    </w:p>
    <w:p w:rsidR="004C0F29" w:rsidRPr="005A65D5" w:rsidRDefault="004C0F29" w:rsidP="004321DB">
      <w:pPr>
        <w:pStyle w:val="NoSpacing"/>
        <w:spacing w:line="276" w:lineRule="auto"/>
        <w:jc w:val="both"/>
        <w:rPr>
          <w:rFonts w:ascii="Arial" w:hAnsi="Arial" w:cs="Arial"/>
        </w:rPr>
      </w:pPr>
    </w:p>
    <w:p w:rsidR="004C0F29" w:rsidRDefault="004C0F29" w:rsidP="004321DB">
      <w:pPr>
        <w:pStyle w:val="NoSpacing"/>
        <w:spacing w:line="276" w:lineRule="auto"/>
        <w:jc w:val="both"/>
        <w:rPr>
          <w:rFonts w:ascii="Arial" w:hAnsi="Arial" w:cs="Arial"/>
        </w:rPr>
      </w:pPr>
      <w:r w:rsidRPr="005A65D5">
        <w:rPr>
          <w:rFonts w:ascii="Arial" w:hAnsi="Arial" w:cs="Arial"/>
        </w:rPr>
        <w:t>The following table summarises the more significant specific grants to be received by the Council in 201</w:t>
      </w:r>
      <w:r w:rsidR="00351D95">
        <w:rPr>
          <w:rFonts w:ascii="Arial" w:hAnsi="Arial" w:cs="Arial"/>
        </w:rPr>
        <w:t>6</w:t>
      </w:r>
      <w:r w:rsidRPr="005A65D5">
        <w:rPr>
          <w:rFonts w:ascii="Arial" w:hAnsi="Arial" w:cs="Arial"/>
        </w:rPr>
        <w:t>/1</w:t>
      </w:r>
      <w:r w:rsidR="00351D95">
        <w:rPr>
          <w:rFonts w:ascii="Arial" w:hAnsi="Arial" w:cs="Arial"/>
        </w:rPr>
        <w:t>7</w:t>
      </w:r>
      <w:r w:rsidR="00AD6ABB" w:rsidRPr="005A65D5">
        <w:rPr>
          <w:rFonts w:ascii="Arial" w:hAnsi="Arial" w:cs="Arial"/>
        </w:rPr>
        <w:t>:</w:t>
      </w:r>
    </w:p>
    <w:p w:rsidR="0031170D" w:rsidRPr="005A65D5" w:rsidRDefault="0031170D" w:rsidP="004321DB">
      <w:pPr>
        <w:pStyle w:val="NoSpacing"/>
        <w:spacing w:line="276" w:lineRule="auto"/>
        <w:jc w:val="both"/>
        <w:rPr>
          <w:rFonts w:ascii="Arial" w:hAnsi="Arial" w:cs="Arial"/>
        </w:rPr>
      </w:pPr>
    </w:p>
    <w:p w:rsidR="00AD6ABB" w:rsidRPr="0031170D" w:rsidRDefault="0031170D" w:rsidP="004321DB">
      <w:pPr>
        <w:pStyle w:val="NoSpacing"/>
        <w:spacing w:line="276" w:lineRule="auto"/>
        <w:jc w:val="both"/>
        <w:rPr>
          <w:rFonts w:ascii="Arial" w:hAnsi="Arial" w:cs="Arial"/>
          <w:b/>
        </w:rPr>
      </w:pPr>
      <w:r w:rsidRPr="0031170D">
        <w:rPr>
          <w:rFonts w:ascii="Arial" w:hAnsi="Arial" w:cs="Arial"/>
          <w:b/>
        </w:rPr>
        <w:t>Table 5</w:t>
      </w:r>
    </w:p>
    <w:tbl>
      <w:tblPr>
        <w:tblStyle w:val="TableGrid9"/>
        <w:tblW w:w="0" w:type="auto"/>
        <w:jc w:val="center"/>
        <w:tblLook w:val="04A0" w:firstRow="1" w:lastRow="0" w:firstColumn="1" w:lastColumn="0" w:noHBand="0" w:noVBand="1"/>
      </w:tblPr>
      <w:tblGrid>
        <w:gridCol w:w="1019"/>
        <w:gridCol w:w="1593"/>
        <w:gridCol w:w="6404"/>
      </w:tblGrid>
      <w:tr w:rsidR="00AD6ABB" w:rsidRPr="004321DB" w:rsidTr="00345D9F">
        <w:trPr>
          <w:jc w:val="center"/>
        </w:trPr>
        <w:tc>
          <w:tcPr>
            <w:tcW w:w="0" w:type="auto"/>
            <w:tcBorders>
              <w:bottom w:val="nil"/>
            </w:tcBorders>
            <w:shd w:val="clear" w:color="auto" w:fill="BFBFBF" w:themeFill="background1" w:themeFillShade="BF"/>
            <w:vAlign w:val="center"/>
          </w:tcPr>
          <w:p w:rsidR="00AD6ABB" w:rsidRPr="004321DB" w:rsidRDefault="00345D9F" w:rsidP="004321DB">
            <w:pPr>
              <w:pStyle w:val="Body1"/>
              <w:spacing w:line="276" w:lineRule="auto"/>
              <w:jc w:val="center"/>
              <w:rPr>
                <w:rFonts w:ascii="Arial" w:hAnsi="Arial" w:cs="Arial"/>
                <w:b/>
                <w:sz w:val="22"/>
                <w:szCs w:val="22"/>
              </w:rPr>
            </w:pPr>
            <w:r w:rsidRPr="004321DB">
              <w:rPr>
                <w:rFonts w:ascii="Arial" w:hAnsi="Arial" w:cs="Arial"/>
                <w:b/>
                <w:sz w:val="22"/>
                <w:szCs w:val="22"/>
              </w:rPr>
              <w:t xml:space="preserve">Grant </w:t>
            </w:r>
          </w:p>
        </w:tc>
        <w:tc>
          <w:tcPr>
            <w:tcW w:w="0" w:type="auto"/>
            <w:tcBorders>
              <w:bottom w:val="nil"/>
            </w:tcBorders>
            <w:shd w:val="clear" w:color="auto" w:fill="BFBFBF" w:themeFill="background1" w:themeFillShade="BF"/>
            <w:vAlign w:val="center"/>
          </w:tcPr>
          <w:p w:rsidR="00AD6ABB" w:rsidRPr="004321DB" w:rsidRDefault="005502D3" w:rsidP="004321DB">
            <w:pPr>
              <w:pStyle w:val="Body1"/>
              <w:spacing w:line="276" w:lineRule="auto"/>
              <w:jc w:val="center"/>
              <w:rPr>
                <w:rFonts w:ascii="Arial" w:hAnsi="Arial" w:cs="Arial"/>
                <w:b/>
                <w:sz w:val="22"/>
                <w:szCs w:val="22"/>
              </w:rPr>
            </w:pPr>
            <w:r>
              <w:rPr>
                <w:rFonts w:ascii="Arial" w:hAnsi="Arial" w:cs="Arial"/>
                <w:b/>
                <w:sz w:val="22"/>
                <w:szCs w:val="22"/>
              </w:rPr>
              <w:t xml:space="preserve">Estimated </w:t>
            </w:r>
            <w:r w:rsidR="00AD6ABB" w:rsidRPr="004321DB">
              <w:rPr>
                <w:rFonts w:ascii="Arial" w:hAnsi="Arial" w:cs="Arial"/>
                <w:b/>
                <w:sz w:val="22"/>
                <w:szCs w:val="22"/>
              </w:rPr>
              <w:t>Allocation 201</w:t>
            </w:r>
            <w:r w:rsidR="00852A93" w:rsidRPr="004321DB">
              <w:rPr>
                <w:rFonts w:ascii="Arial" w:hAnsi="Arial" w:cs="Arial"/>
                <w:b/>
                <w:sz w:val="22"/>
                <w:szCs w:val="22"/>
              </w:rPr>
              <w:t>6</w:t>
            </w:r>
            <w:r w:rsidR="00AD6ABB" w:rsidRPr="004321DB">
              <w:rPr>
                <w:rFonts w:ascii="Arial" w:hAnsi="Arial" w:cs="Arial"/>
                <w:b/>
                <w:sz w:val="22"/>
                <w:szCs w:val="22"/>
              </w:rPr>
              <w:t>/1</w:t>
            </w:r>
            <w:r w:rsidR="00852A93" w:rsidRPr="004321DB">
              <w:rPr>
                <w:rFonts w:ascii="Arial" w:hAnsi="Arial" w:cs="Arial"/>
                <w:b/>
                <w:sz w:val="22"/>
                <w:szCs w:val="22"/>
              </w:rPr>
              <w:t>7</w:t>
            </w:r>
          </w:p>
          <w:p w:rsidR="00345D9F" w:rsidRPr="004321DB" w:rsidRDefault="00345D9F" w:rsidP="004321DB">
            <w:pPr>
              <w:pStyle w:val="Body1"/>
              <w:spacing w:line="276" w:lineRule="auto"/>
              <w:jc w:val="center"/>
              <w:rPr>
                <w:rFonts w:ascii="Arial" w:hAnsi="Arial" w:cs="Arial"/>
                <w:b/>
                <w:sz w:val="22"/>
                <w:szCs w:val="22"/>
              </w:rPr>
            </w:pPr>
            <w:r w:rsidRPr="004321DB">
              <w:rPr>
                <w:rFonts w:ascii="Arial" w:hAnsi="Arial" w:cs="Arial"/>
                <w:b/>
                <w:sz w:val="22"/>
                <w:szCs w:val="22"/>
              </w:rPr>
              <w:t>£m</w:t>
            </w:r>
          </w:p>
        </w:tc>
        <w:tc>
          <w:tcPr>
            <w:tcW w:w="0" w:type="auto"/>
            <w:tcBorders>
              <w:bottom w:val="nil"/>
            </w:tcBorders>
            <w:shd w:val="clear" w:color="auto" w:fill="BFBFBF" w:themeFill="background1" w:themeFillShade="BF"/>
            <w:vAlign w:val="center"/>
          </w:tcPr>
          <w:p w:rsidR="00AD6ABB" w:rsidRPr="004321DB" w:rsidRDefault="00345D9F" w:rsidP="004321DB">
            <w:pPr>
              <w:pStyle w:val="Body1"/>
              <w:spacing w:line="276" w:lineRule="auto"/>
              <w:jc w:val="center"/>
              <w:rPr>
                <w:rFonts w:ascii="Arial" w:hAnsi="Arial" w:cs="Arial"/>
                <w:b/>
                <w:sz w:val="22"/>
                <w:szCs w:val="22"/>
              </w:rPr>
            </w:pPr>
            <w:r w:rsidRPr="004321DB">
              <w:rPr>
                <w:rFonts w:ascii="Arial" w:hAnsi="Arial" w:cs="Arial"/>
                <w:b/>
                <w:sz w:val="22"/>
                <w:szCs w:val="22"/>
              </w:rPr>
              <w:t>Description</w:t>
            </w:r>
          </w:p>
        </w:tc>
      </w:tr>
      <w:tr w:rsidR="00AD6ABB" w:rsidRPr="004321DB" w:rsidTr="004321DB">
        <w:trPr>
          <w:trHeight w:val="983"/>
          <w:jc w:val="center"/>
        </w:trPr>
        <w:tc>
          <w:tcPr>
            <w:tcW w:w="0" w:type="auto"/>
            <w:tcBorders>
              <w:top w:val="single" w:sz="4" w:space="0" w:color="auto"/>
              <w:bottom w:val="single" w:sz="4" w:space="0" w:color="auto"/>
              <w:right w:val="single" w:sz="4" w:space="0" w:color="auto"/>
            </w:tcBorders>
            <w:vAlign w:val="center"/>
          </w:tcPr>
          <w:p w:rsidR="00AD6ABB" w:rsidRPr="004321DB" w:rsidRDefault="00B71651" w:rsidP="004321DB">
            <w:pPr>
              <w:pStyle w:val="Body1"/>
              <w:spacing w:line="276" w:lineRule="auto"/>
              <w:rPr>
                <w:rFonts w:ascii="Arial" w:hAnsi="Arial" w:cs="Arial"/>
                <w:sz w:val="22"/>
                <w:szCs w:val="22"/>
              </w:rPr>
            </w:pPr>
            <w:r w:rsidRPr="004321DB">
              <w:rPr>
                <w:rFonts w:ascii="Arial" w:hAnsi="Arial" w:cs="Arial"/>
                <w:sz w:val="22"/>
                <w:szCs w:val="22"/>
              </w:rPr>
              <w:t>Better Care Fund</w:t>
            </w:r>
          </w:p>
        </w:tc>
        <w:tc>
          <w:tcPr>
            <w:tcW w:w="0" w:type="auto"/>
            <w:tcBorders>
              <w:top w:val="single" w:sz="4" w:space="0" w:color="auto"/>
              <w:left w:val="single" w:sz="4" w:space="0" w:color="auto"/>
              <w:bottom w:val="single" w:sz="4" w:space="0" w:color="auto"/>
              <w:right w:val="single" w:sz="4" w:space="0" w:color="auto"/>
            </w:tcBorders>
            <w:vAlign w:val="center"/>
          </w:tcPr>
          <w:p w:rsidR="00AD6ABB" w:rsidRPr="004321DB" w:rsidRDefault="005502D3" w:rsidP="005502D3">
            <w:pPr>
              <w:pStyle w:val="Body1"/>
              <w:spacing w:line="276" w:lineRule="auto"/>
              <w:jc w:val="center"/>
              <w:rPr>
                <w:rFonts w:ascii="Arial" w:hAnsi="Arial" w:cs="Arial"/>
                <w:sz w:val="22"/>
                <w:szCs w:val="22"/>
              </w:rPr>
            </w:pPr>
            <w:r>
              <w:rPr>
                <w:rFonts w:ascii="Arial" w:hAnsi="Arial" w:cs="Arial"/>
                <w:sz w:val="22"/>
                <w:szCs w:val="22"/>
              </w:rPr>
              <w:t>20.7</w:t>
            </w:r>
          </w:p>
        </w:tc>
        <w:tc>
          <w:tcPr>
            <w:tcW w:w="0" w:type="auto"/>
            <w:tcBorders>
              <w:top w:val="single" w:sz="4" w:space="0" w:color="auto"/>
              <w:left w:val="single" w:sz="4" w:space="0" w:color="auto"/>
              <w:bottom w:val="single" w:sz="4" w:space="0" w:color="auto"/>
            </w:tcBorders>
            <w:vAlign w:val="center"/>
          </w:tcPr>
          <w:p w:rsidR="007A02AF" w:rsidRPr="004321DB" w:rsidRDefault="00B71651" w:rsidP="004321DB">
            <w:pPr>
              <w:pStyle w:val="Body1"/>
              <w:spacing w:line="276" w:lineRule="auto"/>
              <w:jc w:val="both"/>
              <w:rPr>
                <w:rFonts w:ascii="Arial" w:hAnsi="Arial" w:cs="Arial"/>
                <w:sz w:val="22"/>
                <w:szCs w:val="22"/>
              </w:rPr>
            </w:pPr>
            <w:r w:rsidRPr="004321DB">
              <w:rPr>
                <w:rFonts w:ascii="Arial" w:hAnsi="Arial" w:cs="Arial"/>
                <w:sz w:val="22"/>
                <w:szCs w:val="22"/>
              </w:rPr>
              <w:t>The Better Care Fund is a po</w:t>
            </w:r>
            <w:r w:rsidR="00A34F05">
              <w:rPr>
                <w:rFonts w:ascii="Arial" w:hAnsi="Arial" w:cs="Arial"/>
                <w:sz w:val="22"/>
                <w:szCs w:val="22"/>
              </w:rPr>
              <w:t>oled budget to help</w:t>
            </w:r>
            <w:r w:rsidRPr="004321DB">
              <w:rPr>
                <w:rFonts w:ascii="Arial" w:hAnsi="Arial" w:cs="Arial"/>
                <w:sz w:val="22"/>
                <w:szCs w:val="22"/>
              </w:rPr>
              <w:t xml:space="preserve"> improve the integration of health and care services.  It is designed to enable local places to integrate health and care services that are currently commissioned by the NHS and local authorities. This funding</w:t>
            </w:r>
            <w:r w:rsidR="00AD6ABB" w:rsidRPr="004321DB">
              <w:rPr>
                <w:rFonts w:ascii="Arial" w:hAnsi="Arial" w:cs="Arial"/>
                <w:sz w:val="22"/>
                <w:szCs w:val="22"/>
              </w:rPr>
              <w:t xml:space="preserve"> has associated spend tied into various agreements that are required with the NHS</w:t>
            </w:r>
            <w:r w:rsidR="00345D9F" w:rsidRPr="004321DB">
              <w:rPr>
                <w:rFonts w:ascii="Arial" w:hAnsi="Arial" w:cs="Arial"/>
                <w:sz w:val="22"/>
                <w:szCs w:val="22"/>
              </w:rPr>
              <w:t>.</w:t>
            </w:r>
          </w:p>
        </w:tc>
      </w:tr>
      <w:tr w:rsidR="00AD6ABB" w:rsidRPr="004321DB" w:rsidTr="00D0078E">
        <w:trPr>
          <w:trHeight w:val="1066"/>
          <w:jc w:val="center"/>
        </w:trPr>
        <w:tc>
          <w:tcPr>
            <w:tcW w:w="0" w:type="auto"/>
            <w:tcBorders>
              <w:bottom w:val="single" w:sz="4" w:space="0" w:color="auto"/>
              <w:right w:val="single" w:sz="4" w:space="0" w:color="auto"/>
            </w:tcBorders>
            <w:vAlign w:val="center"/>
          </w:tcPr>
          <w:p w:rsidR="00AD6ABB" w:rsidRPr="004321DB" w:rsidRDefault="00AD6ABB" w:rsidP="004321DB">
            <w:pPr>
              <w:pStyle w:val="Body1"/>
              <w:spacing w:line="276" w:lineRule="auto"/>
              <w:rPr>
                <w:rFonts w:ascii="Arial" w:hAnsi="Arial" w:cs="Arial"/>
                <w:sz w:val="22"/>
                <w:szCs w:val="22"/>
                <w:highlight w:val="yellow"/>
              </w:rPr>
            </w:pPr>
            <w:r w:rsidRPr="004321DB">
              <w:rPr>
                <w:rFonts w:ascii="Arial" w:hAnsi="Arial" w:cs="Arial"/>
                <w:sz w:val="22"/>
                <w:szCs w:val="22"/>
              </w:rPr>
              <w:t>Public Health</w:t>
            </w:r>
          </w:p>
        </w:tc>
        <w:tc>
          <w:tcPr>
            <w:tcW w:w="0" w:type="auto"/>
            <w:tcBorders>
              <w:left w:val="single" w:sz="4" w:space="0" w:color="auto"/>
              <w:bottom w:val="single" w:sz="4" w:space="0" w:color="auto"/>
              <w:right w:val="single" w:sz="4" w:space="0" w:color="auto"/>
            </w:tcBorders>
            <w:vAlign w:val="center"/>
          </w:tcPr>
          <w:p w:rsidR="00AD6ABB" w:rsidRPr="004321DB" w:rsidRDefault="0031170D" w:rsidP="00351D95">
            <w:pPr>
              <w:pStyle w:val="Body1"/>
              <w:spacing w:line="276" w:lineRule="auto"/>
              <w:jc w:val="center"/>
              <w:rPr>
                <w:rFonts w:ascii="Arial" w:hAnsi="Arial" w:cs="Arial"/>
                <w:sz w:val="22"/>
                <w:szCs w:val="22"/>
              </w:rPr>
            </w:pPr>
            <w:r>
              <w:rPr>
                <w:rFonts w:ascii="Arial" w:hAnsi="Arial" w:cs="Arial"/>
                <w:sz w:val="22"/>
                <w:szCs w:val="22"/>
              </w:rPr>
              <w:t>72.0</w:t>
            </w:r>
          </w:p>
        </w:tc>
        <w:tc>
          <w:tcPr>
            <w:tcW w:w="0" w:type="auto"/>
            <w:tcBorders>
              <w:left w:val="single" w:sz="4" w:space="0" w:color="auto"/>
              <w:bottom w:val="single" w:sz="4" w:space="0" w:color="auto"/>
            </w:tcBorders>
            <w:vAlign w:val="center"/>
          </w:tcPr>
          <w:p w:rsidR="00345D9F" w:rsidRPr="004321DB" w:rsidRDefault="00AD6ABB" w:rsidP="004321DB">
            <w:pPr>
              <w:pStyle w:val="Body1"/>
              <w:spacing w:line="276" w:lineRule="auto"/>
              <w:jc w:val="both"/>
              <w:rPr>
                <w:rFonts w:ascii="Arial" w:hAnsi="Arial" w:cs="Arial"/>
                <w:sz w:val="22"/>
                <w:szCs w:val="22"/>
              </w:rPr>
            </w:pPr>
            <w:r w:rsidRPr="004321DB">
              <w:rPr>
                <w:rFonts w:ascii="Arial" w:hAnsi="Arial" w:cs="Arial"/>
                <w:sz w:val="22"/>
                <w:szCs w:val="22"/>
              </w:rPr>
              <w:t>Ring fenced funding only able to be spent in accordance with the conditions of the grant</w:t>
            </w:r>
            <w:r w:rsidR="00345D9F" w:rsidRPr="004321DB">
              <w:rPr>
                <w:rFonts w:ascii="Arial" w:hAnsi="Arial" w:cs="Arial"/>
                <w:sz w:val="22"/>
                <w:szCs w:val="22"/>
              </w:rPr>
              <w:t>.</w:t>
            </w:r>
          </w:p>
        </w:tc>
      </w:tr>
    </w:tbl>
    <w:p w:rsidR="00D0078E" w:rsidRDefault="00D0078E" w:rsidP="004321DB">
      <w:pPr>
        <w:spacing w:after="0"/>
        <w:jc w:val="both"/>
        <w:rPr>
          <w:rFonts w:cs="Arial"/>
          <w:szCs w:val="24"/>
        </w:rPr>
      </w:pPr>
    </w:p>
    <w:p w:rsidR="00327CA4" w:rsidRDefault="00317423" w:rsidP="004321DB">
      <w:pPr>
        <w:spacing w:after="0"/>
        <w:jc w:val="both"/>
        <w:rPr>
          <w:rFonts w:cs="Arial"/>
          <w:i/>
          <w:szCs w:val="24"/>
        </w:rPr>
      </w:pPr>
      <w:r>
        <w:rPr>
          <w:rFonts w:cs="Arial"/>
          <w:i/>
          <w:szCs w:val="24"/>
        </w:rPr>
        <w:t xml:space="preserve">5.6 </w:t>
      </w:r>
      <w:r w:rsidR="002D74F2">
        <w:rPr>
          <w:rFonts w:cs="Arial"/>
          <w:i/>
          <w:szCs w:val="24"/>
        </w:rPr>
        <w:t>O</w:t>
      </w:r>
      <w:r w:rsidR="008A2A1A" w:rsidRPr="005A65D5">
        <w:rPr>
          <w:rFonts w:cs="Arial"/>
          <w:i/>
          <w:szCs w:val="24"/>
        </w:rPr>
        <w:t xml:space="preserve">ne-off </w:t>
      </w:r>
      <w:r w:rsidR="002D74F2">
        <w:rPr>
          <w:rFonts w:cs="Arial"/>
          <w:i/>
          <w:szCs w:val="24"/>
        </w:rPr>
        <w:t xml:space="preserve">revenue </w:t>
      </w:r>
      <w:r w:rsidR="008A2A1A" w:rsidRPr="005A65D5">
        <w:rPr>
          <w:rFonts w:cs="Arial"/>
          <w:i/>
          <w:szCs w:val="24"/>
        </w:rPr>
        <w:t>resources</w:t>
      </w:r>
    </w:p>
    <w:p w:rsidR="00345D9F" w:rsidRPr="005A65D5" w:rsidRDefault="00345D9F" w:rsidP="004321DB">
      <w:pPr>
        <w:spacing w:after="0"/>
        <w:jc w:val="both"/>
        <w:rPr>
          <w:rFonts w:cs="Arial"/>
          <w:i/>
          <w:szCs w:val="24"/>
        </w:rPr>
      </w:pPr>
    </w:p>
    <w:p w:rsidR="0043791F" w:rsidRDefault="0031170D" w:rsidP="0043791F">
      <w:pPr>
        <w:spacing w:after="0"/>
        <w:jc w:val="both"/>
        <w:rPr>
          <w:rFonts w:cs="Arial"/>
          <w:szCs w:val="24"/>
        </w:rPr>
      </w:pPr>
      <w:r>
        <w:rPr>
          <w:rFonts w:cs="Arial"/>
          <w:szCs w:val="24"/>
        </w:rPr>
        <w:t>As referred to in section 5.2.1 and 5.3 t</w:t>
      </w:r>
      <w:r w:rsidR="008A2A1A" w:rsidRPr="005A65D5">
        <w:rPr>
          <w:rFonts w:cs="Arial"/>
          <w:szCs w:val="24"/>
        </w:rPr>
        <w:t xml:space="preserve">he following one-off </w:t>
      </w:r>
      <w:r w:rsidR="00A76BC6" w:rsidRPr="005A65D5">
        <w:rPr>
          <w:rFonts w:cs="Arial"/>
          <w:szCs w:val="24"/>
        </w:rPr>
        <w:t xml:space="preserve">revenue </w:t>
      </w:r>
      <w:r w:rsidR="008A2A1A" w:rsidRPr="005A65D5">
        <w:rPr>
          <w:rFonts w:cs="Arial"/>
          <w:szCs w:val="24"/>
        </w:rPr>
        <w:t>resources are available in 201</w:t>
      </w:r>
      <w:r w:rsidR="0088407A" w:rsidRPr="005A65D5">
        <w:rPr>
          <w:rFonts w:cs="Arial"/>
          <w:szCs w:val="24"/>
        </w:rPr>
        <w:t>6</w:t>
      </w:r>
      <w:r w:rsidR="008A2A1A" w:rsidRPr="005A65D5">
        <w:rPr>
          <w:rFonts w:cs="Arial"/>
          <w:szCs w:val="24"/>
        </w:rPr>
        <w:t>/1</w:t>
      </w:r>
      <w:r w:rsidR="0088407A" w:rsidRPr="005A65D5">
        <w:rPr>
          <w:rFonts w:cs="Arial"/>
          <w:szCs w:val="24"/>
        </w:rPr>
        <w:t>7</w:t>
      </w:r>
      <w:r w:rsidR="001D0484">
        <w:rPr>
          <w:rFonts w:cs="Arial"/>
          <w:szCs w:val="24"/>
        </w:rPr>
        <w:t xml:space="preserve"> in the table overleaf</w:t>
      </w:r>
      <w:r w:rsidR="008A2A1A" w:rsidRPr="005A65D5">
        <w:rPr>
          <w:rFonts w:cs="Arial"/>
          <w:szCs w:val="24"/>
        </w:rPr>
        <w:t>:</w:t>
      </w:r>
    </w:p>
    <w:p w:rsidR="000326F0" w:rsidRDefault="000326F0">
      <w:pPr>
        <w:rPr>
          <w:rFonts w:cs="Arial"/>
          <w:szCs w:val="24"/>
        </w:rPr>
      </w:pPr>
      <w:r>
        <w:rPr>
          <w:rFonts w:cs="Arial"/>
          <w:szCs w:val="24"/>
        </w:rPr>
        <w:br w:type="page"/>
      </w:r>
    </w:p>
    <w:p w:rsidR="00345D9F" w:rsidRPr="0031170D" w:rsidRDefault="0031170D" w:rsidP="0043791F">
      <w:pPr>
        <w:spacing w:after="0"/>
        <w:jc w:val="both"/>
        <w:rPr>
          <w:rFonts w:cs="Arial"/>
          <w:b/>
          <w:szCs w:val="24"/>
        </w:rPr>
      </w:pPr>
      <w:r w:rsidRPr="0031170D">
        <w:rPr>
          <w:rFonts w:cs="Arial"/>
          <w:b/>
          <w:szCs w:val="24"/>
        </w:rPr>
        <w:lastRenderedPageBreak/>
        <w:t>Table 6</w:t>
      </w:r>
    </w:p>
    <w:tbl>
      <w:tblPr>
        <w:tblStyle w:val="TableGrid"/>
        <w:tblW w:w="9067" w:type="dxa"/>
        <w:tblBorders>
          <w:insideH w:val="none" w:sz="0" w:space="0" w:color="auto"/>
        </w:tblBorders>
        <w:tblLook w:val="04A0" w:firstRow="1" w:lastRow="0" w:firstColumn="1" w:lastColumn="0" w:noHBand="0" w:noVBand="1"/>
      </w:tblPr>
      <w:tblGrid>
        <w:gridCol w:w="6374"/>
        <w:gridCol w:w="2693"/>
      </w:tblGrid>
      <w:tr w:rsidR="008A2A1A" w:rsidRPr="004321DB" w:rsidTr="00345D9F">
        <w:trPr>
          <w:trHeight w:val="467"/>
        </w:trPr>
        <w:tc>
          <w:tcPr>
            <w:tcW w:w="6374" w:type="dxa"/>
            <w:tcBorders>
              <w:top w:val="single" w:sz="4" w:space="0" w:color="auto"/>
              <w:bottom w:val="single" w:sz="4" w:space="0" w:color="auto"/>
            </w:tcBorders>
            <w:shd w:val="clear" w:color="auto" w:fill="BFBFBF" w:themeFill="background1" w:themeFillShade="BF"/>
            <w:vAlign w:val="center"/>
          </w:tcPr>
          <w:p w:rsidR="008A2A1A" w:rsidRPr="004321DB" w:rsidRDefault="008A2A1A" w:rsidP="004321DB">
            <w:pPr>
              <w:spacing w:line="276" w:lineRule="auto"/>
              <w:jc w:val="center"/>
              <w:rPr>
                <w:rFonts w:cs="Arial"/>
                <w:b/>
                <w:color w:val="000000"/>
                <w:sz w:val="22"/>
                <w:highlight w:val="cyan"/>
                <w:lang w:eastAsia="en-GB"/>
              </w:rPr>
            </w:pPr>
            <w:r w:rsidRPr="004321DB">
              <w:rPr>
                <w:rFonts w:cs="Arial"/>
                <w:b/>
                <w:color w:val="000000"/>
                <w:sz w:val="22"/>
                <w:lang w:eastAsia="en-GB"/>
              </w:rPr>
              <w:t>Additional one off</w:t>
            </w:r>
            <w:r w:rsidR="00C145DE" w:rsidRPr="004321DB">
              <w:rPr>
                <w:rFonts w:cs="Arial"/>
                <w:b/>
                <w:color w:val="000000"/>
                <w:sz w:val="22"/>
                <w:lang w:eastAsia="en-GB"/>
              </w:rPr>
              <w:t xml:space="preserve"> revenue</w:t>
            </w:r>
            <w:r w:rsidRPr="004321DB">
              <w:rPr>
                <w:rFonts w:cs="Arial"/>
                <w:b/>
                <w:color w:val="000000"/>
                <w:sz w:val="22"/>
                <w:lang w:eastAsia="en-GB"/>
              </w:rPr>
              <w:t xml:space="preserve"> resources in 201</w:t>
            </w:r>
            <w:r w:rsidR="00AB63BD" w:rsidRPr="004321DB">
              <w:rPr>
                <w:rFonts w:cs="Arial"/>
                <w:b/>
                <w:color w:val="000000"/>
                <w:sz w:val="22"/>
                <w:lang w:eastAsia="en-GB"/>
              </w:rPr>
              <w:t>6</w:t>
            </w:r>
            <w:r w:rsidRPr="004321DB">
              <w:rPr>
                <w:rFonts w:cs="Arial"/>
                <w:b/>
                <w:color w:val="000000"/>
                <w:sz w:val="22"/>
                <w:lang w:eastAsia="en-GB"/>
              </w:rPr>
              <w:t>/1</w:t>
            </w:r>
            <w:r w:rsidR="00AB63BD" w:rsidRPr="004321DB">
              <w:rPr>
                <w:rFonts w:cs="Arial"/>
                <w:b/>
                <w:color w:val="000000"/>
                <w:sz w:val="22"/>
                <w:lang w:eastAsia="en-GB"/>
              </w:rPr>
              <w:t>7</w:t>
            </w:r>
          </w:p>
        </w:tc>
        <w:tc>
          <w:tcPr>
            <w:tcW w:w="2693" w:type="dxa"/>
            <w:tcBorders>
              <w:top w:val="single" w:sz="4" w:space="0" w:color="auto"/>
              <w:bottom w:val="single" w:sz="4" w:space="0" w:color="auto"/>
            </w:tcBorders>
            <w:shd w:val="clear" w:color="auto" w:fill="BFBFBF" w:themeFill="background1" w:themeFillShade="BF"/>
            <w:vAlign w:val="center"/>
          </w:tcPr>
          <w:p w:rsidR="008A2A1A" w:rsidRPr="004321DB" w:rsidRDefault="008A2A1A" w:rsidP="004321DB">
            <w:pPr>
              <w:spacing w:line="276" w:lineRule="auto"/>
              <w:jc w:val="center"/>
              <w:rPr>
                <w:rFonts w:cs="Arial"/>
                <w:b/>
                <w:color w:val="000000"/>
                <w:sz w:val="22"/>
                <w:highlight w:val="cyan"/>
                <w:lang w:eastAsia="en-GB"/>
              </w:rPr>
            </w:pPr>
            <w:r w:rsidRPr="004321DB">
              <w:rPr>
                <w:rFonts w:cs="Arial"/>
                <w:b/>
                <w:color w:val="000000"/>
                <w:sz w:val="22"/>
                <w:lang w:eastAsia="en-GB"/>
              </w:rPr>
              <w:t>£m</w:t>
            </w:r>
          </w:p>
        </w:tc>
      </w:tr>
      <w:tr w:rsidR="008A2A1A" w:rsidRPr="004321DB" w:rsidTr="00345D9F">
        <w:trPr>
          <w:trHeight w:val="490"/>
        </w:trPr>
        <w:tc>
          <w:tcPr>
            <w:tcW w:w="6374" w:type="dxa"/>
            <w:tcBorders>
              <w:top w:val="single" w:sz="4" w:space="0" w:color="auto"/>
              <w:bottom w:val="single" w:sz="4" w:space="0" w:color="auto"/>
            </w:tcBorders>
            <w:vAlign w:val="center"/>
          </w:tcPr>
          <w:p w:rsidR="008A2A1A" w:rsidRPr="004321DB" w:rsidRDefault="008A2A1A" w:rsidP="004321DB">
            <w:pPr>
              <w:spacing w:line="276" w:lineRule="auto"/>
              <w:jc w:val="both"/>
              <w:rPr>
                <w:rFonts w:cs="Arial"/>
                <w:color w:val="000000"/>
                <w:sz w:val="22"/>
                <w:highlight w:val="cyan"/>
                <w:lang w:eastAsia="en-GB"/>
              </w:rPr>
            </w:pPr>
            <w:r w:rsidRPr="004321DB">
              <w:rPr>
                <w:rFonts w:cs="Arial"/>
                <w:color w:val="000000"/>
                <w:sz w:val="22"/>
                <w:lang w:eastAsia="en-GB"/>
              </w:rPr>
              <w:t xml:space="preserve">Council Tax Collection Fund surplus </w:t>
            </w:r>
          </w:p>
        </w:tc>
        <w:tc>
          <w:tcPr>
            <w:tcW w:w="2693" w:type="dxa"/>
            <w:tcBorders>
              <w:top w:val="single" w:sz="4" w:space="0" w:color="auto"/>
              <w:bottom w:val="single" w:sz="4" w:space="0" w:color="auto"/>
            </w:tcBorders>
            <w:vAlign w:val="center"/>
          </w:tcPr>
          <w:p w:rsidR="008A2A1A" w:rsidRPr="00351D95" w:rsidRDefault="00F71CDE" w:rsidP="004321DB">
            <w:pPr>
              <w:spacing w:line="276" w:lineRule="auto"/>
              <w:jc w:val="center"/>
              <w:rPr>
                <w:rFonts w:cs="Arial"/>
                <w:color w:val="000000"/>
                <w:sz w:val="22"/>
                <w:lang w:eastAsia="en-GB"/>
              </w:rPr>
            </w:pPr>
            <w:r>
              <w:rPr>
                <w:rFonts w:cs="Arial"/>
                <w:color w:val="000000"/>
                <w:sz w:val="22"/>
                <w:lang w:eastAsia="en-GB"/>
              </w:rPr>
              <w:t>7.037</w:t>
            </w:r>
          </w:p>
        </w:tc>
      </w:tr>
      <w:tr w:rsidR="008A2A1A" w:rsidRPr="004321DB" w:rsidTr="00345D9F">
        <w:trPr>
          <w:trHeight w:val="505"/>
        </w:trPr>
        <w:tc>
          <w:tcPr>
            <w:tcW w:w="6374" w:type="dxa"/>
            <w:tcBorders>
              <w:top w:val="single" w:sz="4" w:space="0" w:color="auto"/>
              <w:bottom w:val="single" w:sz="4" w:space="0" w:color="auto"/>
            </w:tcBorders>
            <w:vAlign w:val="center"/>
          </w:tcPr>
          <w:p w:rsidR="008A2A1A" w:rsidRPr="004321DB" w:rsidRDefault="008F5A06" w:rsidP="008F5A06">
            <w:pPr>
              <w:spacing w:line="276" w:lineRule="auto"/>
              <w:jc w:val="both"/>
              <w:rPr>
                <w:rFonts w:cs="Arial"/>
                <w:color w:val="000000"/>
                <w:sz w:val="22"/>
                <w:lang w:eastAsia="en-GB"/>
              </w:rPr>
            </w:pPr>
            <w:r>
              <w:rPr>
                <w:rFonts w:cs="Arial"/>
                <w:color w:val="000000"/>
                <w:sz w:val="22"/>
                <w:lang w:eastAsia="en-GB"/>
              </w:rPr>
              <w:t>Business Rates Collection Fund deficit</w:t>
            </w:r>
            <w:r w:rsidR="008A2A1A" w:rsidRPr="004321DB">
              <w:rPr>
                <w:rFonts w:cs="Arial"/>
                <w:color w:val="000000"/>
                <w:sz w:val="22"/>
                <w:lang w:eastAsia="en-GB"/>
              </w:rPr>
              <w:t xml:space="preserve"> </w:t>
            </w:r>
          </w:p>
        </w:tc>
        <w:tc>
          <w:tcPr>
            <w:tcW w:w="2693" w:type="dxa"/>
            <w:tcBorders>
              <w:top w:val="single" w:sz="4" w:space="0" w:color="auto"/>
              <w:bottom w:val="single" w:sz="4" w:space="0" w:color="auto"/>
            </w:tcBorders>
            <w:vAlign w:val="center"/>
          </w:tcPr>
          <w:p w:rsidR="008A2A1A" w:rsidRPr="00351D95" w:rsidRDefault="008D3C3D" w:rsidP="00F71CDE">
            <w:pPr>
              <w:spacing w:line="276" w:lineRule="auto"/>
              <w:jc w:val="center"/>
              <w:rPr>
                <w:rFonts w:cs="Arial"/>
                <w:color w:val="000000"/>
                <w:sz w:val="22"/>
                <w:lang w:eastAsia="en-GB"/>
              </w:rPr>
            </w:pPr>
            <w:r w:rsidRPr="00351D95">
              <w:rPr>
                <w:rFonts w:cs="Arial"/>
                <w:color w:val="000000"/>
                <w:sz w:val="22"/>
                <w:lang w:eastAsia="en-GB"/>
              </w:rPr>
              <w:t>-</w:t>
            </w:r>
            <w:r w:rsidR="00F71CDE">
              <w:rPr>
                <w:rFonts w:cs="Arial"/>
                <w:color w:val="000000"/>
                <w:sz w:val="22"/>
                <w:lang w:eastAsia="en-GB"/>
              </w:rPr>
              <w:t>2.334</w:t>
            </w:r>
          </w:p>
        </w:tc>
      </w:tr>
      <w:tr w:rsidR="008A2A1A" w:rsidRPr="004321DB" w:rsidTr="00345D9F">
        <w:trPr>
          <w:trHeight w:val="479"/>
        </w:trPr>
        <w:tc>
          <w:tcPr>
            <w:tcW w:w="6374" w:type="dxa"/>
            <w:tcBorders>
              <w:top w:val="single" w:sz="4" w:space="0" w:color="auto"/>
              <w:bottom w:val="single" w:sz="4" w:space="0" w:color="auto"/>
            </w:tcBorders>
            <w:vAlign w:val="center"/>
          </w:tcPr>
          <w:p w:rsidR="008A2A1A" w:rsidRPr="004321DB" w:rsidRDefault="008A2A1A" w:rsidP="004321DB">
            <w:pPr>
              <w:spacing w:line="276" w:lineRule="auto"/>
              <w:jc w:val="both"/>
              <w:rPr>
                <w:rFonts w:cs="Arial"/>
                <w:b/>
                <w:color w:val="000000"/>
                <w:sz w:val="22"/>
                <w:lang w:eastAsia="en-GB"/>
              </w:rPr>
            </w:pPr>
            <w:r w:rsidRPr="004321DB">
              <w:rPr>
                <w:rFonts w:cs="Arial"/>
                <w:b/>
                <w:color w:val="000000"/>
                <w:sz w:val="22"/>
                <w:lang w:eastAsia="en-GB"/>
              </w:rPr>
              <w:t xml:space="preserve">Total one-off </w:t>
            </w:r>
            <w:r w:rsidR="00C145DE" w:rsidRPr="004321DB">
              <w:rPr>
                <w:rFonts w:cs="Arial"/>
                <w:b/>
                <w:color w:val="000000"/>
                <w:sz w:val="22"/>
                <w:lang w:eastAsia="en-GB"/>
              </w:rPr>
              <w:t xml:space="preserve">revenue </w:t>
            </w:r>
            <w:r w:rsidRPr="004321DB">
              <w:rPr>
                <w:rFonts w:cs="Arial"/>
                <w:b/>
                <w:color w:val="000000"/>
                <w:sz w:val="22"/>
                <w:lang w:eastAsia="en-GB"/>
              </w:rPr>
              <w:t>resources</w:t>
            </w:r>
          </w:p>
        </w:tc>
        <w:tc>
          <w:tcPr>
            <w:tcW w:w="2693" w:type="dxa"/>
            <w:tcBorders>
              <w:top w:val="single" w:sz="4" w:space="0" w:color="auto"/>
              <w:bottom w:val="single" w:sz="4" w:space="0" w:color="auto"/>
            </w:tcBorders>
            <w:vAlign w:val="center"/>
          </w:tcPr>
          <w:p w:rsidR="008A2A1A" w:rsidRPr="00351D95" w:rsidRDefault="005502D3" w:rsidP="005502D3">
            <w:pPr>
              <w:spacing w:line="276" w:lineRule="auto"/>
              <w:jc w:val="center"/>
              <w:rPr>
                <w:rFonts w:cs="Arial"/>
                <w:b/>
                <w:color w:val="000000"/>
                <w:sz w:val="22"/>
                <w:lang w:eastAsia="en-GB"/>
              </w:rPr>
            </w:pPr>
            <w:r>
              <w:rPr>
                <w:rFonts w:cs="Arial"/>
                <w:b/>
                <w:color w:val="000000"/>
                <w:sz w:val="22"/>
                <w:lang w:eastAsia="en-GB"/>
              </w:rPr>
              <w:t>4.703</w:t>
            </w:r>
          </w:p>
        </w:tc>
      </w:tr>
    </w:tbl>
    <w:p w:rsidR="00345D9F" w:rsidRPr="005A65D5" w:rsidRDefault="00345D9F" w:rsidP="004321DB">
      <w:pPr>
        <w:spacing w:after="0"/>
        <w:jc w:val="both"/>
        <w:rPr>
          <w:rFonts w:cs="Arial"/>
          <w:szCs w:val="24"/>
        </w:rPr>
      </w:pPr>
    </w:p>
    <w:p w:rsidR="008A2A1A" w:rsidRPr="005A65D5" w:rsidRDefault="008A2A1A" w:rsidP="004321DB">
      <w:pPr>
        <w:spacing w:after="0"/>
        <w:jc w:val="both"/>
        <w:rPr>
          <w:rFonts w:cs="Arial"/>
          <w:szCs w:val="24"/>
        </w:rPr>
      </w:pPr>
      <w:r w:rsidRPr="005A65D5">
        <w:rPr>
          <w:rFonts w:cs="Arial"/>
          <w:szCs w:val="24"/>
        </w:rPr>
        <w:t>In order to balanc</w:t>
      </w:r>
      <w:r w:rsidR="00B64ACD" w:rsidRPr="005A65D5">
        <w:rPr>
          <w:rFonts w:cs="Arial"/>
          <w:szCs w:val="24"/>
        </w:rPr>
        <w:t>e the 201</w:t>
      </w:r>
      <w:r w:rsidR="008D3C3D" w:rsidRPr="005A65D5">
        <w:rPr>
          <w:rFonts w:cs="Arial"/>
          <w:szCs w:val="24"/>
        </w:rPr>
        <w:t>6</w:t>
      </w:r>
      <w:r w:rsidR="00B64ACD" w:rsidRPr="005A65D5">
        <w:rPr>
          <w:rFonts w:cs="Arial"/>
          <w:szCs w:val="24"/>
        </w:rPr>
        <w:t>/1</w:t>
      </w:r>
      <w:r w:rsidR="008D3C3D" w:rsidRPr="005A65D5">
        <w:rPr>
          <w:rFonts w:cs="Arial"/>
          <w:szCs w:val="24"/>
        </w:rPr>
        <w:t>7</w:t>
      </w:r>
      <w:r w:rsidR="00B64ACD" w:rsidRPr="005A65D5">
        <w:rPr>
          <w:rFonts w:cs="Arial"/>
          <w:szCs w:val="24"/>
        </w:rPr>
        <w:t xml:space="preserve"> </w:t>
      </w:r>
      <w:r w:rsidR="00264CF4" w:rsidRPr="005A65D5">
        <w:rPr>
          <w:rFonts w:cs="Arial"/>
          <w:szCs w:val="24"/>
        </w:rPr>
        <w:t xml:space="preserve">revenue </w:t>
      </w:r>
      <w:r w:rsidR="00B64ACD" w:rsidRPr="005A65D5">
        <w:rPr>
          <w:rFonts w:cs="Arial"/>
          <w:szCs w:val="24"/>
        </w:rPr>
        <w:t>budget</w:t>
      </w:r>
      <w:r w:rsidR="008D3C3D" w:rsidRPr="005A65D5">
        <w:rPr>
          <w:rFonts w:cs="Arial"/>
          <w:szCs w:val="24"/>
        </w:rPr>
        <w:t xml:space="preserve"> it is currently estimated that a contribution from reserves will be required. It is proposed that these one-off resources are contributed to reserve</w:t>
      </w:r>
      <w:r w:rsidR="00CF6C2B" w:rsidRPr="005A65D5">
        <w:rPr>
          <w:rFonts w:cs="Arial"/>
          <w:szCs w:val="24"/>
        </w:rPr>
        <w:t>s</w:t>
      </w:r>
      <w:r w:rsidR="008D3C3D" w:rsidRPr="005A65D5">
        <w:rPr>
          <w:rFonts w:cs="Arial"/>
          <w:szCs w:val="24"/>
        </w:rPr>
        <w:t>.</w:t>
      </w:r>
    </w:p>
    <w:p w:rsidR="00CF6C2B" w:rsidRPr="005A65D5" w:rsidRDefault="00CF6C2B" w:rsidP="004321DB">
      <w:pPr>
        <w:spacing w:after="0"/>
        <w:jc w:val="both"/>
        <w:rPr>
          <w:rFonts w:cs="Arial"/>
          <w:szCs w:val="24"/>
        </w:rPr>
      </w:pPr>
    </w:p>
    <w:p w:rsidR="00C145DE" w:rsidRPr="00345D9F" w:rsidRDefault="00317423" w:rsidP="004321DB">
      <w:pPr>
        <w:spacing w:after="0"/>
        <w:jc w:val="both"/>
        <w:rPr>
          <w:rFonts w:cs="Arial"/>
          <w:i/>
          <w:szCs w:val="24"/>
        </w:rPr>
      </w:pPr>
      <w:r>
        <w:rPr>
          <w:rFonts w:cs="Arial"/>
          <w:i/>
          <w:szCs w:val="24"/>
        </w:rPr>
        <w:t xml:space="preserve">5.7 </w:t>
      </w:r>
      <w:r w:rsidR="008D3C3D" w:rsidRPr="00345D9F">
        <w:rPr>
          <w:rFonts w:cs="Arial"/>
          <w:i/>
          <w:szCs w:val="24"/>
        </w:rPr>
        <w:t>Reserves</w:t>
      </w:r>
    </w:p>
    <w:p w:rsidR="00CF6C2B" w:rsidRPr="005A65D5" w:rsidRDefault="00CF6C2B" w:rsidP="004321DB">
      <w:pPr>
        <w:spacing w:after="0"/>
        <w:jc w:val="both"/>
        <w:rPr>
          <w:rFonts w:cs="Arial"/>
          <w:szCs w:val="24"/>
        </w:rPr>
      </w:pPr>
    </w:p>
    <w:p w:rsidR="00A34F05" w:rsidRDefault="00050C9F" w:rsidP="004321DB">
      <w:pPr>
        <w:spacing w:after="0"/>
        <w:jc w:val="both"/>
        <w:rPr>
          <w:rFonts w:cs="Arial"/>
          <w:szCs w:val="24"/>
        </w:rPr>
      </w:pPr>
      <w:r w:rsidRPr="005A65D5">
        <w:rPr>
          <w:rFonts w:cs="Arial"/>
          <w:szCs w:val="24"/>
        </w:rPr>
        <w:t xml:space="preserve">Cabinet agreed a report which </w:t>
      </w:r>
      <w:r w:rsidR="00345D9F">
        <w:rPr>
          <w:rFonts w:cs="Arial"/>
          <w:szCs w:val="24"/>
        </w:rPr>
        <w:t>transferred</w:t>
      </w:r>
      <w:r w:rsidR="00112E62">
        <w:rPr>
          <w:rFonts w:cs="Arial"/>
          <w:szCs w:val="24"/>
        </w:rPr>
        <w:t xml:space="preserve"> £117.2m</w:t>
      </w:r>
      <w:r w:rsidR="00345D9F">
        <w:rPr>
          <w:rFonts w:cs="Arial"/>
          <w:szCs w:val="24"/>
        </w:rPr>
        <w:t xml:space="preserve"> </w:t>
      </w:r>
      <w:r w:rsidR="00112E62">
        <w:rPr>
          <w:rFonts w:cs="Arial"/>
          <w:szCs w:val="24"/>
        </w:rPr>
        <w:t xml:space="preserve">from existing reserves </w:t>
      </w:r>
      <w:r w:rsidR="00345D9F">
        <w:rPr>
          <w:rFonts w:cs="Arial"/>
          <w:szCs w:val="24"/>
        </w:rPr>
        <w:t>to a Transitional R</w:t>
      </w:r>
      <w:r w:rsidRPr="005A65D5">
        <w:rPr>
          <w:rFonts w:cs="Arial"/>
          <w:szCs w:val="24"/>
        </w:rPr>
        <w:t>eserve to support the revenue budget</w:t>
      </w:r>
      <w:r w:rsidR="00A34F05">
        <w:rPr>
          <w:rFonts w:cs="Arial"/>
          <w:szCs w:val="24"/>
        </w:rPr>
        <w:t xml:space="preserve"> in 2016/17 and part way through 2017/18</w:t>
      </w:r>
      <w:r w:rsidR="00112E62">
        <w:rPr>
          <w:rFonts w:cs="Arial"/>
          <w:szCs w:val="24"/>
        </w:rPr>
        <w:t xml:space="preserve">. This </w:t>
      </w:r>
      <w:r w:rsidR="00A34F05">
        <w:rPr>
          <w:rFonts w:cs="Arial"/>
          <w:szCs w:val="24"/>
        </w:rPr>
        <w:t xml:space="preserve">amount </w:t>
      </w:r>
      <w:r w:rsidR="00112E62">
        <w:rPr>
          <w:rFonts w:cs="Arial"/>
          <w:szCs w:val="24"/>
        </w:rPr>
        <w:t>assumes</w:t>
      </w:r>
      <w:r w:rsidRPr="005A65D5">
        <w:rPr>
          <w:rFonts w:cs="Arial"/>
          <w:szCs w:val="24"/>
        </w:rPr>
        <w:t xml:space="preserve"> that the change in Minimum </w:t>
      </w:r>
      <w:r w:rsidR="0031170D">
        <w:rPr>
          <w:rFonts w:cs="Arial"/>
          <w:szCs w:val="24"/>
        </w:rPr>
        <w:t>R</w:t>
      </w:r>
      <w:r w:rsidRPr="005A65D5">
        <w:rPr>
          <w:rFonts w:cs="Arial"/>
          <w:szCs w:val="24"/>
        </w:rPr>
        <w:t>evenue Provision (MRP) policy is agree</w:t>
      </w:r>
      <w:r w:rsidR="002D74F2">
        <w:rPr>
          <w:rFonts w:cs="Arial"/>
          <w:szCs w:val="24"/>
        </w:rPr>
        <w:t>d at this Full Council meeting.</w:t>
      </w:r>
    </w:p>
    <w:p w:rsidR="002D74F2" w:rsidRDefault="002D74F2" w:rsidP="004321DB">
      <w:pPr>
        <w:spacing w:after="0"/>
        <w:jc w:val="both"/>
        <w:rPr>
          <w:rFonts w:cs="Arial"/>
          <w:szCs w:val="24"/>
        </w:rPr>
      </w:pPr>
    </w:p>
    <w:p w:rsidR="00050C9F" w:rsidRPr="005A65D5" w:rsidRDefault="00A34F05" w:rsidP="004321DB">
      <w:pPr>
        <w:spacing w:after="0"/>
        <w:jc w:val="both"/>
        <w:rPr>
          <w:rFonts w:cs="Arial"/>
          <w:szCs w:val="24"/>
        </w:rPr>
      </w:pPr>
      <w:r>
        <w:rPr>
          <w:rFonts w:cs="Arial"/>
          <w:szCs w:val="24"/>
        </w:rPr>
        <w:t xml:space="preserve">A significant </w:t>
      </w:r>
      <w:r w:rsidR="00050C9F" w:rsidRPr="005A65D5">
        <w:rPr>
          <w:rFonts w:cs="Arial"/>
          <w:szCs w:val="24"/>
        </w:rPr>
        <w:t xml:space="preserve">number of the </w:t>
      </w:r>
      <w:r w:rsidR="00112E62">
        <w:rPr>
          <w:rFonts w:cs="Arial"/>
          <w:szCs w:val="24"/>
        </w:rPr>
        <w:t>saving proposals agreed in November</w:t>
      </w:r>
      <w:r w:rsidR="00050C9F" w:rsidRPr="005A65D5">
        <w:rPr>
          <w:rFonts w:cs="Arial"/>
          <w:szCs w:val="24"/>
        </w:rPr>
        <w:t xml:space="preserve"> will take some lead-in time to deliver</w:t>
      </w:r>
      <w:r w:rsidR="00112E62">
        <w:rPr>
          <w:rFonts w:cs="Arial"/>
          <w:szCs w:val="24"/>
        </w:rPr>
        <w:t xml:space="preserve">. The cost incurred during this </w:t>
      </w:r>
      <w:r w:rsidR="0031170D">
        <w:rPr>
          <w:rFonts w:cs="Arial"/>
          <w:szCs w:val="24"/>
        </w:rPr>
        <w:t xml:space="preserve">lead in </w:t>
      </w:r>
      <w:r w:rsidR="00112E62">
        <w:rPr>
          <w:rFonts w:cs="Arial"/>
          <w:szCs w:val="24"/>
        </w:rPr>
        <w:t>time will be met from reserves.</w:t>
      </w:r>
      <w:r w:rsidR="00050C9F" w:rsidRPr="005A65D5">
        <w:rPr>
          <w:rFonts w:cs="Arial"/>
          <w:szCs w:val="24"/>
        </w:rPr>
        <w:t xml:space="preserve">     </w:t>
      </w:r>
    </w:p>
    <w:p w:rsidR="00050C9F" w:rsidRPr="005A65D5" w:rsidRDefault="00050C9F" w:rsidP="004321DB">
      <w:pPr>
        <w:spacing w:after="0"/>
        <w:jc w:val="both"/>
        <w:rPr>
          <w:rFonts w:cs="Arial"/>
          <w:szCs w:val="24"/>
        </w:rPr>
      </w:pPr>
    </w:p>
    <w:p w:rsidR="00050C9F" w:rsidRDefault="00050C9F" w:rsidP="004321DB">
      <w:pPr>
        <w:spacing w:after="0"/>
        <w:jc w:val="both"/>
        <w:rPr>
          <w:rFonts w:cs="Arial"/>
          <w:szCs w:val="24"/>
        </w:rPr>
      </w:pPr>
      <w:r w:rsidRPr="005A65D5">
        <w:rPr>
          <w:rFonts w:cs="Arial"/>
          <w:szCs w:val="24"/>
        </w:rPr>
        <w:t>The table below sets out the summary of the proposed use of reserves to meet the budget proposals and the funding gap ide</w:t>
      </w:r>
      <w:r w:rsidR="00345D9F">
        <w:rPr>
          <w:rFonts w:cs="Arial"/>
          <w:szCs w:val="24"/>
        </w:rPr>
        <w:t>ntified within the updated MTFS:</w:t>
      </w:r>
    </w:p>
    <w:p w:rsidR="002376B9" w:rsidRDefault="002376B9" w:rsidP="004321DB">
      <w:pPr>
        <w:spacing w:after="0"/>
        <w:jc w:val="both"/>
        <w:rPr>
          <w:rFonts w:cs="Arial"/>
          <w:szCs w:val="24"/>
        </w:rPr>
      </w:pPr>
    </w:p>
    <w:p w:rsidR="00345D9F" w:rsidRPr="0031170D" w:rsidRDefault="0031170D" w:rsidP="004321DB">
      <w:pPr>
        <w:spacing w:after="0"/>
        <w:jc w:val="both"/>
        <w:rPr>
          <w:rFonts w:cs="Arial"/>
          <w:b/>
          <w:szCs w:val="24"/>
        </w:rPr>
      </w:pPr>
      <w:r w:rsidRPr="0031170D">
        <w:rPr>
          <w:rFonts w:cs="Arial"/>
          <w:b/>
          <w:szCs w:val="24"/>
        </w:rPr>
        <w:t>Table 7</w:t>
      </w:r>
    </w:p>
    <w:tbl>
      <w:tblPr>
        <w:tblStyle w:val="TableGrid"/>
        <w:tblW w:w="0" w:type="auto"/>
        <w:tblLook w:val="04A0" w:firstRow="1" w:lastRow="0" w:firstColumn="1" w:lastColumn="0" w:noHBand="0" w:noVBand="1"/>
      </w:tblPr>
      <w:tblGrid>
        <w:gridCol w:w="5133"/>
        <w:gridCol w:w="1936"/>
        <w:gridCol w:w="1936"/>
      </w:tblGrid>
      <w:tr w:rsidR="00345D9F" w:rsidRPr="004321DB" w:rsidTr="00624D24">
        <w:trPr>
          <w:trHeight w:val="502"/>
        </w:trPr>
        <w:tc>
          <w:tcPr>
            <w:tcW w:w="5133" w:type="dxa"/>
            <w:shd w:val="clear" w:color="auto" w:fill="BFBFBF" w:themeFill="background1" w:themeFillShade="BF"/>
            <w:vAlign w:val="center"/>
          </w:tcPr>
          <w:p w:rsidR="00345D9F" w:rsidRPr="004321DB" w:rsidRDefault="00345D9F" w:rsidP="004321DB">
            <w:pPr>
              <w:spacing w:line="276" w:lineRule="auto"/>
              <w:jc w:val="center"/>
              <w:rPr>
                <w:rFonts w:cs="Arial"/>
                <w:b/>
                <w:sz w:val="22"/>
              </w:rPr>
            </w:pPr>
          </w:p>
        </w:tc>
        <w:tc>
          <w:tcPr>
            <w:tcW w:w="1936" w:type="dxa"/>
            <w:shd w:val="clear" w:color="auto" w:fill="BFBFBF" w:themeFill="background1" w:themeFillShade="BF"/>
            <w:vAlign w:val="center"/>
          </w:tcPr>
          <w:p w:rsidR="00345D9F" w:rsidRPr="004321DB" w:rsidRDefault="00345D9F" w:rsidP="004321DB">
            <w:pPr>
              <w:spacing w:line="276" w:lineRule="auto"/>
              <w:jc w:val="center"/>
              <w:rPr>
                <w:rFonts w:cs="Arial"/>
                <w:b/>
                <w:sz w:val="22"/>
              </w:rPr>
            </w:pPr>
            <w:r w:rsidRPr="004321DB">
              <w:rPr>
                <w:rFonts w:cs="Arial"/>
                <w:b/>
                <w:sz w:val="22"/>
              </w:rPr>
              <w:t>2016/17</w:t>
            </w:r>
          </w:p>
          <w:p w:rsidR="00345D9F" w:rsidRPr="004321DB" w:rsidRDefault="00345D9F" w:rsidP="004321DB">
            <w:pPr>
              <w:spacing w:line="276" w:lineRule="auto"/>
              <w:jc w:val="center"/>
              <w:rPr>
                <w:rFonts w:cs="Arial"/>
                <w:b/>
                <w:sz w:val="22"/>
              </w:rPr>
            </w:pPr>
            <w:r w:rsidRPr="004321DB">
              <w:rPr>
                <w:rFonts w:cs="Arial"/>
                <w:b/>
                <w:sz w:val="22"/>
              </w:rPr>
              <w:t>£m</w:t>
            </w:r>
          </w:p>
        </w:tc>
        <w:tc>
          <w:tcPr>
            <w:tcW w:w="1936" w:type="dxa"/>
            <w:shd w:val="clear" w:color="auto" w:fill="BFBFBF" w:themeFill="background1" w:themeFillShade="BF"/>
            <w:vAlign w:val="center"/>
          </w:tcPr>
          <w:p w:rsidR="00345D9F" w:rsidRPr="004321DB" w:rsidRDefault="00345D9F" w:rsidP="004321DB">
            <w:pPr>
              <w:spacing w:line="276" w:lineRule="auto"/>
              <w:jc w:val="center"/>
              <w:rPr>
                <w:rFonts w:cs="Arial"/>
                <w:b/>
                <w:sz w:val="22"/>
              </w:rPr>
            </w:pPr>
            <w:r w:rsidRPr="004321DB">
              <w:rPr>
                <w:rFonts w:cs="Arial"/>
                <w:b/>
                <w:sz w:val="22"/>
              </w:rPr>
              <w:t>2017/18</w:t>
            </w:r>
          </w:p>
          <w:p w:rsidR="00345D9F" w:rsidRPr="004321DB" w:rsidRDefault="00345D9F" w:rsidP="004321DB">
            <w:pPr>
              <w:spacing w:line="276" w:lineRule="auto"/>
              <w:jc w:val="center"/>
              <w:rPr>
                <w:rFonts w:cs="Arial"/>
                <w:b/>
                <w:sz w:val="22"/>
              </w:rPr>
            </w:pPr>
            <w:r w:rsidRPr="004321DB">
              <w:rPr>
                <w:rFonts w:cs="Arial"/>
                <w:b/>
                <w:sz w:val="22"/>
              </w:rPr>
              <w:t>£m</w:t>
            </w:r>
          </w:p>
        </w:tc>
      </w:tr>
      <w:tr w:rsidR="00345D9F" w:rsidRPr="004321DB" w:rsidTr="00624D24">
        <w:trPr>
          <w:trHeight w:val="607"/>
        </w:trPr>
        <w:tc>
          <w:tcPr>
            <w:tcW w:w="5133" w:type="dxa"/>
            <w:vAlign w:val="center"/>
          </w:tcPr>
          <w:p w:rsidR="00345D9F" w:rsidRPr="004321DB" w:rsidRDefault="00FC4B07" w:rsidP="00FC4B07">
            <w:pPr>
              <w:spacing w:line="276" w:lineRule="auto"/>
              <w:jc w:val="both"/>
              <w:rPr>
                <w:rFonts w:cs="Arial"/>
                <w:sz w:val="22"/>
              </w:rPr>
            </w:pPr>
            <w:r>
              <w:rPr>
                <w:rFonts w:cs="Arial"/>
                <w:sz w:val="22"/>
              </w:rPr>
              <w:t xml:space="preserve">Transitional </w:t>
            </w:r>
            <w:r w:rsidR="00345D9F" w:rsidRPr="004321DB">
              <w:rPr>
                <w:rFonts w:cs="Arial"/>
                <w:sz w:val="22"/>
              </w:rPr>
              <w:t>Reserve available</w:t>
            </w:r>
          </w:p>
        </w:tc>
        <w:tc>
          <w:tcPr>
            <w:tcW w:w="1936" w:type="dxa"/>
            <w:vAlign w:val="center"/>
          </w:tcPr>
          <w:p w:rsidR="00345D9F" w:rsidRPr="004321DB" w:rsidRDefault="00345D9F" w:rsidP="004321DB">
            <w:pPr>
              <w:spacing w:line="276" w:lineRule="auto"/>
              <w:jc w:val="center"/>
              <w:rPr>
                <w:rFonts w:cs="Arial"/>
                <w:sz w:val="22"/>
              </w:rPr>
            </w:pPr>
            <w:r w:rsidRPr="004321DB">
              <w:rPr>
                <w:rFonts w:cs="Arial"/>
                <w:sz w:val="22"/>
              </w:rPr>
              <w:t>117.2</w:t>
            </w:r>
          </w:p>
        </w:tc>
        <w:tc>
          <w:tcPr>
            <w:tcW w:w="1936" w:type="dxa"/>
            <w:vAlign w:val="center"/>
          </w:tcPr>
          <w:p w:rsidR="00345D9F" w:rsidRPr="004321DB" w:rsidRDefault="00F458F3" w:rsidP="004321DB">
            <w:pPr>
              <w:spacing w:line="276" w:lineRule="auto"/>
              <w:jc w:val="center"/>
              <w:rPr>
                <w:rFonts w:cs="Arial"/>
                <w:sz w:val="22"/>
              </w:rPr>
            </w:pPr>
            <w:r>
              <w:rPr>
                <w:rFonts w:cs="Arial"/>
                <w:sz w:val="22"/>
              </w:rPr>
              <w:t>47.4</w:t>
            </w:r>
          </w:p>
        </w:tc>
      </w:tr>
      <w:tr w:rsidR="00345D9F" w:rsidRPr="004321DB" w:rsidTr="00624D24">
        <w:trPr>
          <w:trHeight w:val="607"/>
        </w:trPr>
        <w:tc>
          <w:tcPr>
            <w:tcW w:w="5133" w:type="dxa"/>
            <w:vAlign w:val="center"/>
          </w:tcPr>
          <w:p w:rsidR="00345D9F" w:rsidRPr="004321DB" w:rsidRDefault="00345D9F" w:rsidP="00FC4B07">
            <w:pPr>
              <w:spacing w:line="276" w:lineRule="auto"/>
              <w:jc w:val="both"/>
              <w:rPr>
                <w:rFonts w:cs="Arial"/>
                <w:sz w:val="22"/>
              </w:rPr>
            </w:pPr>
            <w:r w:rsidRPr="004321DB">
              <w:rPr>
                <w:rFonts w:cs="Arial"/>
                <w:sz w:val="22"/>
              </w:rPr>
              <w:t>R</w:t>
            </w:r>
            <w:r w:rsidR="00FC4B07">
              <w:rPr>
                <w:rFonts w:cs="Arial"/>
                <w:sz w:val="22"/>
              </w:rPr>
              <w:t>eserves r</w:t>
            </w:r>
            <w:r w:rsidRPr="004321DB">
              <w:rPr>
                <w:rFonts w:cs="Arial"/>
                <w:sz w:val="22"/>
              </w:rPr>
              <w:t>equire</w:t>
            </w:r>
            <w:r w:rsidR="00FC4B07">
              <w:rPr>
                <w:rFonts w:cs="Arial"/>
                <w:sz w:val="22"/>
              </w:rPr>
              <w:t>d to</w:t>
            </w:r>
            <w:r w:rsidRPr="004321DB">
              <w:rPr>
                <w:rFonts w:cs="Arial"/>
                <w:sz w:val="22"/>
              </w:rPr>
              <w:t xml:space="preserve"> support </w:t>
            </w:r>
            <w:r w:rsidR="0051679A">
              <w:rPr>
                <w:rFonts w:cs="Arial"/>
                <w:sz w:val="22"/>
              </w:rPr>
              <w:t>budget proposals</w:t>
            </w:r>
          </w:p>
        </w:tc>
        <w:tc>
          <w:tcPr>
            <w:tcW w:w="1936" w:type="dxa"/>
            <w:vAlign w:val="center"/>
          </w:tcPr>
          <w:p w:rsidR="00345D9F" w:rsidRPr="004321DB" w:rsidRDefault="0051679A" w:rsidP="004321DB">
            <w:pPr>
              <w:spacing w:line="276" w:lineRule="auto"/>
              <w:jc w:val="center"/>
              <w:rPr>
                <w:rFonts w:cs="Arial"/>
                <w:sz w:val="22"/>
              </w:rPr>
            </w:pPr>
            <w:r>
              <w:rPr>
                <w:rFonts w:cs="Arial"/>
                <w:sz w:val="22"/>
              </w:rPr>
              <w:t>46.5</w:t>
            </w:r>
          </w:p>
        </w:tc>
        <w:tc>
          <w:tcPr>
            <w:tcW w:w="1936" w:type="dxa"/>
            <w:vAlign w:val="center"/>
          </w:tcPr>
          <w:p w:rsidR="00345D9F" w:rsidRPr="004321DB" w:rsidRDefault="0051679A" w:rsidP="004321DB">
            <w:pPr>
              <w:spacing w:line="276" w:lineRule="auto"/>
              <w:jc w:val="center"/>
              <w:rPr>
                <w:rFonts w:cs="Arial"/>
                <w:sz w:val="22"/>
              </w:rPr>
            </w:pPr>
            <w:r>
              <w:rPr>
                <w:rFonts w:cs="Arial"/>
                <w:sz w:val="22"/>
              </w:rPr>
              <w:t>24.2</w:t>
            </w:r>
          </w:p>
        </w:tc>
      </w:tr>
      <w:tr w:rsidR="00345D9F" w:rsidRPr="004321DB" w:rsidTr="00624D24">
        <w:trPr>
          <w:trHeight w:val="607"/>
        </w:trPr>
        <w:tc>
          <w:tcPr>
            <w:tcW w:w="5133" w:type="dxa"/>
            <w:vAlign w:val="center"/>
          </w:tcPr>
          <w:p w:rsidR="00345D9F" w:rsidRPr="004321DB" w:rsidRDefault="00FC4B07" w:rsidP="008F5A06">
            <w:pPr>
              <w:spacing w:line="276" w:lineRule="auto"/>
              <w:jc w:val="both"/>
              <w:rPr>
                <w:rFonts w:cs="Arial"/>
                <w:sz w:val="22"/>
              </w:rPr>
            </w:pPr>
            <w:r>
              <w:rPr>
                <w:rFonts w:cs="Arial"/>
                <w:sz w:val="22"/>
              </w:rPr>
              <w:t>Reserves</w:t>
            </w:r>
            <w:r w:rsidR="008F5A06">
              <w:rPr>
                <w:rFonts w:cs="Arial"/>
                <w:sz w:val="22"/>
              </w:rPr>
              <w:t xml:space="preserve"> required to meet</w:t>
            </w:r>
            <w:r w:rsidR="00351D95">
              <w:rPr>
                <w:rFonts w:cs="Arial"/>
                <w:sz w:val="22"/>
              </w:rPr>
              <w:t xml:space="preserve"> fund</w:t>
            </w:r>
            <w:r w:rsidR="008F5A06">
              <w:rPr>
                <w:rFonts w:cs="Arial"/>
                <w:sz w:val="22"/>
              </w:rPr>
              <w:t>ing</w:t>
            </w:r>
            <w:r w:rsidR="00351D95">
              <w:rPr>
                <w:rFonts w:cs="Arial"/>
                <w:sz w:val="22"/>
              </w:rPr>
              <w:t xml:space="preserve"> </w:t>
            </w:r>
            <w:r w:rsidR="00345D9F" w:rsidRPr="004321DB">
              <w:rPr>
                <w:rFonts w:cs="Arial"/>
                <w:sz w:val="22"/>
              </w:rPr>
              <w:t>gap</w:t>
            </w:r>
          </w:p>
        </w:tc>
        <w:tc>
          <w:tcPr>
            <w:tcW w:w="1936" w:type="dxa"/>
            <w:vAlign w:val="center"/>
          </w:tcPr>
          <w:p w:rsidR="00345D9F" w:rsidRPr="004321DB" w:rsidRDefault="0051679A" w:rsidP="004321DB">
            <w:pPr>
              <w:spacing w:line="276" w:lineRule="auto"/>
              <w:jc w:val="center"/>
              <w:rPr>
                <w:rFonts w:cs="Arial"/>
                <w:sz w:val="22"/>
              </w:rPr>
            </w:pPr>
            <w:r>
              <w:rPr>
                <w:rFonts w:cs="Arial"/>
                <w:sz w:val="22"/>
              </w:rPr>
              <w:t>23.3</w:t>
            </w:r>
          </w:p>
        </w:tc>
        <w:tc>
          <w:tcPr>
            <w:tcW w:w="1936" w:type="dxa"/>
            <w:vAlign w:val="center"/>
          </w:tcPr>
          <w:p w:rsidR="00345D9F" w:rsidRPr="004321DB" w:rsidRDefault="0051679A" w:rsidP="004321DB">
            <w:pPr>
              <w:spacing w:line="276" w:lineRule="auto"/>
              <w:jc w:val="center"/>
              <w:rPr>
                <w:rFonts w:cs="Arial"/>
                <w:sz w:val="22"/>
              </w:rPr>
            </w:pPr>
            <w:r>
              <w:rPr>
                <w:rFonts w:cs="Arial"/>
                <w:sz w:val="22"/>
              </w:rPr>
              <w:t>51.5</w:t>
            </w:r>
          </w:p>
        </w:tc>
      </w:tr>
      <w:tr w:rsidR="00345D9F" w:rsidRPr="0051679A" w:rsidTr="00624D24">
        <w:trPr>
          <w:trHeight w:val="607"/>
        </w:trPr>
        <w:tc>
          <w:tcPr>
            <w:tcW w:w="5133" w:type="dxa"/>
            <w:vAlign w:val="center"/>
          </w:tcPr>
          <w:p w:rsidR="00345D9F" w:rsidRPr="0051679A" w:rsidRDefault="00345D9F" w:rsidP="00FC4B07">
            <w:pPr>
              <w:spacing w:line="276" w:lineRule="auto"/>
              <w:jc w:val="both"/>
              <w:rPr>
                <w:rFonts w:cs="Arial"/>
                <w:b/>
                <w:sz w:val="22"/>
              </w:rPr>
            </w:pPr>
            <w:r w:rsidRPr="0051679A">
              <w:rPr>
                <w:rFonts w:cs="Arial"/>
                <w:b/>
                <w:sz w:val="22"/>
              </w:rPr>
              <w:t xml:space="preserve">Balance </w:t>
            </w:r>
            <w:r w:rsidR="00FC4B07">
              <w:rPr>
                <w:rFonts w:cs="Arial"/>
                <w:b/>
                <w:sz w:val="22"/>
              </w:rPr>
              <w:t>of Transitional Reserve</w:t>
            </w:r>
          </w:p>
        </w:tc>
        <w:tc>
          <w:tcPr>
            <w:tcW w:w="1936" w:type="dxa"/>
            <w:vAlign w:val="center"/>
          </w:tcPr>
          <w:p w:rsidR="00345D9F" w:rsidRPr="0051679A" w:rsidRDefault="00F458F3" w:rsidP="004321DB">
            <w:pPr>
              <w:spacing w:line="276" w:lineRule="auto"/>
              <w:jc w:val="center"/>
              <w:rPr>
                <w:rFonts w:cs="Arial"/>
                <w:b/>
                <w:sz w:val="22"/>
              </w:rPr>
            </w:pPr>
            <w:r>
              <w:rPr>
                <w:rFonts w:cs="Arial"/>
                <w:b/>
                <w:sz w:val="22"/>
              </w:rPr>
              <w:t>47.4</w:t>
            </w:r>
          </w:p>
        </w:tc>
        <w:tc>
          <w:tcPr>
            <w:tcW w:w="1936" w:type="dxa"/>
            <w:vAlign w:val="center"/>
          </w:tcPr>
          <w:p w:rsidR="00345D9F" w:rsidRPr="0051679A" w:rsidRDefault="00F458F3" w:rsidP="004321DB">
            <w:pPr>
              <w:spacing w:line="276" w:lineRule="auto"/>
              <w:jc w:val="center"/>
              <w:rPr>
                <w:rFonts w:cs="Arial"/>
                <w:b/>
                <w:sz w:val="22"/>
              </w:rPr>
            </w:pPr>
            <w:r>
              <w:rPr>
                <w:rFonts w:cs="Arial"/>
                <w:b/>
                <w:sz w:val="22"/>
              </w:rPr>
              <w:t>-28.3</w:t>
            </w:r>
          </w:p>
        </w:tc>
      </w:tr>
    </w:tbl>
    <w:p w:rsidR="00317423" w:rsidRPr="005A65D5" w:rsidRDefault="00317423" w:rsidP="004321DB">
      <w:pPr>
        <w:spacing w:after="0"/>
        <w:jc w:val="both"/>
        <w:rPr>
          <w:rFonts w:cs="Arial"/>
          <w:szCs w:val="24"/>
        </w:rPr>
      </w:pPr>
    </w:p>
    <w:p w:rsidR="001D0484" w:rsidRPr="008F5A06" w:rsidRDefault="008F5A06" w:rsidP="00FC4B07">
      <w:pPr>
        <w:jc w:val="both"/>
        <w:rPr>
          <w:rFonts w:cs="Arial"/>
          <w:szCs w:val="24"/>
        </w:rPr>
      </w:pPr>
      <w:r w:rsidRPr="008F5A06">
        <w:rPr>
          <w:rFonts w:cs="Arial"/>
          <w:szCs w:val="24"/>
        </w:rPr>
        <w:t xml:space="preserve">This </w:t>
      </w:r>
      <w:r w:rsidR="00FC4B07">
        <w:rPr>
          <w:rFonts w:cs="Arial"/>
          <w:szCs w:val="24"/>
        </w:rPr>
        <w:t xml:space="preserve">table shows </w:t>
      </w:r>
      <w:r w:rsidRPr="008F5A06">
        <w:rPr>
          <w:rFonts w:cs="Arial"/>
          <w:szCs w:val="24"/>
        </w:rPr>
        <w:t xml:space="preserve">that </w:t>
      </w:r>
      <w:r w:rsidR="00FC4B07">
        <w:rPr>
          <w:rFonts w:cs="Arial"/>
          <w:szCs w:val="24"/>
        </w:rPr>
        <w:t>there are</w:t>
      </w:r>
      <w:r w:rsidRPr="008F5A06">
        <w:rPr>
          <w:rFonts w:cs="Arial"/>
          <w:szCs w:val="24"/>
        </w:rPr>
        <w:t xml:space="preserve"> £28.3m </w:t>
      </w:r>
      <w:r w:rsidR="00FC4B07">
        <w:rPr>
          <w:rFonts w:cs="Arial"/>
          <w:szCs w:val="24"/>
        </w:rPr>
        <w:t xml:space="preserve">of reserves less than required. The Transitional Reserve is not adequate to support the full year </w:t>
      </w:r>
      <w:r w:rsidR="00EA0F97">
        <w:rPr>
          <w:rFonts w:cs="Arial"/>
          <w:szCs w:val="24"/>
        </w:rPr>
        <w:t>in 2017/18</w:t>
      </w:r>
      <w:r w:rsidR="002D74F2">
        <w:rPr>
          <w:rFonts w:cs="Arial"/>
          <w:szCs w:val="24"/>
        </w:rPr>
        <w:t xml:space="preserve"> and reinforces the need to immediately commence the budget setting process for that year</w:t>
      </w:r>
      <w:r w:rsidR="00FC4B07">
        <w:rPr>
          <w:rFonts w:cs="Arial"/>
          <w:szCs w:val="24"/>
        </w:rPr>
        <w:t xml:space="preserve">. This position has been </w:t>
      </w:r>
      <w:r>
        <w:rPr>
          <w:rFonts w:cs="Arial"/>
          <w:szCs w:val="24"/>
        </w:rPr>
        <w:t>updated to reflect the latest information</w:t>
      </w:r>
      <w:r w:rsidR="00FC4B07">
        <w:rPr>
          <w:rFonts w:cs="Arial"/>
          <w:szCs w:val="24"/>
        </w:rPr>
        <w:t xml:space="preserve"> i</w:t>
      </w:r>
      <w:r>
        <w:rPr>
          <w:rFonts w:cs="Arial"/>
          <w:szCs w:val="24"/>
        </w:rPr>
        <w:t>n table 9</w:t>
      </w:r>
      <w:r w:rsidR="00E917F6">
        <w:rPr>
          <w:rFonts w:cs="Arial"/>
          <w:szCs w:val="24"/>
        </w:rPr>
        <w:t>.</w:t>
      </w:r>
      <w:r w:rsidR="001D0484" w:rsidRPr="008F5A06">
        <w:rPr>
          <w:rFonts w:cs="Arial"/>
          <w:szCs w:val="24"/>
        </w:rPr>
        <w:br w:type="page"/>
      </w:r>
    </w:p>
    <w:p w:rsidR="0044456F" w:rsidRPr="00345D9F" w:rsidRDefault="00345D9F" w:rsidP="004321DB">
      <w:pPr>
        <w:spacing w:after="0"/>
        <w:jc w:val="both"/>
        <w:rPr>
          <w:rFonts w:cs="Arial"/>
          <w:b/>
          <w:szCs w:val="24"/>
        </w:rPr>
      </w:pPr>
      <w:r>
        <w:rPr>
          <w:rFonts w:cs="Arial"/>
          <w:b/>
          <w:szCs w:val="24"/>
        </w:rPr>
        <w:lastRenderedPageBreak/>
        <w:t xml:space="preserve">6. </w:t>
      </w:r>
      <w:r w:rsidR="00632869" w:rsidRPr="00345D9F">
        <w:rPr>
          <w:rFonts w:cs="Arial"/>
          <w:b/>
          <w:szCs w:val="24"/>
        </w:rPr>
        <w:t>The Overall Rev</w:t>
      </w:r>
      <w:r w:rsidR="008E4942" w:rsidRPr="00345D9F">
        <w:rPr>
          <w:rFonts w:cs="Arial"/>
          <w:b/>
          <w:szCs w:val="24"/>
        </w:rPr>
        <w:t>enue Budget Position for 201</w:t>
      </w:r>
      <w:r w:rsidR="00F31AB6" w:rsidRPr="00345D9F">
        <w:rPr>
          <w:rFonts w:cs="Arial"/>
          <w:b/>
          <w:szCs w:val="24"/>
        </w:rPr>
        <w:t>6</w:t>
      </w:r>
      <w:r w:rsidR="008E4942" w:rsidRPr="00345D9F">
        <w:rPr>
          <w:rFonts w:cs="Arial"/>
          <w:b/>
          <w:szCs w:val="24"/>
        </w:rPr>
        <w:t>/1</w:t>
      </w:r>
      <w:r w:rsidR="00F31AB6" w:rsidRPr="00345D9F">
        <w:rPr>
          <w:rFonts w:cs="Arial"/>
          <w:b/>
          <w:szCs w:val="24"/>
        </w:rPr>
        <w:t>7</w:t>
      </w:r>
    </w:p>
    <w:p w:rsidR="00632869" w:rsidRPr="005A65D5" w:rsidRDefault="00632869" w:rsidP="004321DB">
      <w:pPr>
        <w:pStyle w:val="NoSpacing"/>
        <w:spacing w:line="276" w:lineRule="auto"/>
        <w:jc w:val="both"/>
        <w:rPr>
          <w:rFonts w:ascii="Arial" w:hAnsi="Arial" w:cs="Arial"/>
        </w:rPr>
      </w:pPr>
    </w:p>
    <w:p w:rsidR="00632869" w:rsidRDefault="00750F3F" w:rsidP="004321DB">
      <w:pPr>
        <w:spacing w:after="0"/>
        <w:jc w:val="both"/>
        <w:rPr>
          <w:rFonts w:cs="Arial"/>
          <w:i/>
          <w:szCs w:val="24"/>
        </w:rPr>
      </w:pPr>
      <w:r w:rsidRPr="005A65D5">
        <w:rPr>
          <w:rFonts w:cs="Arial"/>
          <w:i/>
          <w:szCs w:val="24"/>
        </w:rPr>
        <w:t>6</w:t>
      </w:r>
      <w:r w:rsidR="00317423">
        <w:rPr>
          <w:rFonts w:cs="Arial"/>
          <w:i/>
          <w:szCs w:val="24"/>
        </w:rPr>
        <w:t xml:space="preserve">.1 </w:t>
      </w:r>
      <w:r w:rsidR="002236B9" w:rsidRPr="005A65D5">
        <w:rPr>
          <w:rFonts w:cs="Arial"/>
          <w:i/>
          <w:szCs w:val="24"/>
        </w:rPr>
        <w:t xml:space="preserve">Summary of Cabinet's Revenue Budget </w:t>
      </w:r>
      <w:r w:rsidR="0045334D" w:rsidRPr="005A65D5">
        <w:rPr>
          <w:rFonts w:cs="Arial"/>
          <w:i/>
          <w:szCs w:val="24"/>
        </w:rPr>
        <w:t>Proposals</w:t>
      </w:r>
    </w:p>
    <w:p w:rsidR="00317423" w:rsidRPr="005A65D5" w:rsidRDefault="00317423" w:rsidP="004321DB">
      <w:pPr>
        <w:spacing w:after="0"/>
        <w:jc w:val="both"/>
        <w:rPr>
          <w:rFonts w:cs="Arial"/>
          <w:i/>
          <w:szCs w:val="24"/>
        </w:rPr>
      </w:pPr>
    </w:p>
    <w:p w:rsidR="00736F79" w:rsidRDefault="00632869" w:rsidP="004321DB">
      <w:pPr>
        <w:spacing w:after="0"/>
        <w:jc w:val="both"/>
        <w:rPr>
          <w:rFonts w:cs="Arial"/>
          <w:szCs w:val="24"/>
        </w:rPr>
      </w:pPr>
      <w:r w:rsidRPr="005A65D5">
        <w:rPr>
          <w:rFonts w:cs="Arial"/>
          <w:szCs w:val="24"/>
        </w:rPr>
        <w:t xml:space="preserve">The </w:t>
      </w:r>
      <w:r w:rsidR="0044456F" w:rsidRPr="005A65D5">
        <w:rPr>
          <w:rFonts w:cs="Arial"/>
          <w:szCs w:val="24"/>
        </w:rPr>
        <w:t xml:space="preserve">overall </w:t>
      </w:r>
      <w:r w:rsidRPr="005A65D5">
        <w:rPr>
          <w:rFonts w:cs="Arial"/>
          <w:szCs w:val="24"/>
        </w:rPr>
        <w:t>impact of the</w:t>
      </w:r>
      <w:r w:rsidR="002236B9" w:rsidRPr="005A65D5">
        <w:rPr>
          <w:rFonts w:cs="Arial"/>
          <w:szCs w:val="24"/>
        </w:rPr>
        <w:t xml:space="preserve"> Cabinet's recommendations to Full Council for the</w:t>
      </w:r>
      <w:r w:rsidRPr="005A65D5">
        <w:rPr>
          <w:rFonts w:cs="Arial"/>
          <w:szCs w:val="24"/>
        </w:rPr>
        <w:t xml:space="preserve"> 201</w:t>
      </w:r>
      <w:r w:rsidR="007E34E2" w:rsidRPr="005A65D5">
        <w:rPr>
          <w:rFonts w:cs="Arial"/>
          <w:szCs w:val="24"/>
        </w:rPr>
        <w:t>6</w:t>
      </w:r>
      <w:r w:rsidR="008E4942" w:rsidRPr="005A65D5">
        <w:rPr>
          <w:rFonts w:cs="Arial"/>
          <w:szCs w:val="24"/>
        </w:rPr>
        <w:t>/1</w:t>
      </w:r>
      <w:r w:rsidR="007E34E2" w:rsidRPr="005A65D5">
        <w:rPr>
          <w:rFonts w:cs="Arial"/>
          <w:szCs w:val="24"/>
        </w:rPr>
        <w:t>7</w:t>
      </w:r>
      <w:r w:rsidRPr="005A65D5">
        <w:rPr>
          <w:rFonts w:cs="Arial"/>
          <w:szCs w:val="24"/>
        </w:rPr>
        <w:t xml:space="preserve"> revenue budget </w:t>
      </w:r>
      <w:r w:rsidR="00907D24" w:rsidRPr="005A65D5">
        <w:rPr>
          <w:rFonts w:cs="Arial"/>
          <w:szCs w:val="24"/>
        </w:rPr>
        <w:t>and the</w:t>
      </w:r>
      <w:r w:rsidR="002E691D" w:rsidRPr="005A65D5">
        <w:rPr>
          <w:rFonts w:cs="Arial"/>
          <w:szCs w:val="24"/>
        </w:rPr>
        <w:t xml:space="preserve"> potential changes </w:t>
      </w:r>
      <w:r w:rsidR="00922715" w:rsidRPr="005A65D5">
        <w:rPr>
          <w:rFonts w:cs="Arial"/>
          <w:szCs w:val="24"/>
        </w:rPr>
        <w:t>are</w:t>
      </w:r>
      <w:r w:rsidR="00624D24">
        <w:rPr>
          <w:rFonts w:cs="Arial"/>
          <w:szCs w:val="24"/>
        </w:rPr>
        <w:t xml:space="preserve"> set out in the table overleaf.</w:t>
      </w:r>
      <w:r w:rsidRPr="005A65D5">
        <w:rPr>
          <w:rFonts w:cs="Arial"/>
          <w:szCs w:val="24"/>
        </w:rPr>
        <w:t xml:space="preserve"> </w:t>
      </w:r>
      <w:r w:rsidR="004034E7" w:rsidRPr="005A65D5">
        <w:rPr>
          <w:rFonts w:cs="Arial"/>
          <w:szCs w:val="24"/>
        </w:rPr>
        <w:t xml:space="preserve"> </w:t>
      </w:r>
    </w:p>
    <w:p w:rsidR="00736F79" w:rsidRDefault="00736F79" w:rsidP="004321DB">
      <w:pPr>
        <w:spacing w:after="0"/>
        <w:jc w:val="both"/>
        <w:rPr>
          <w:rFonts w:cs="Arial"/>
          <w:szCs w:val="24"/>
        </w:rPr>
      </w:pPr>
    </w:p>
    <w:p w:rsidR="00736F79" w:rsidRDefault="006D57A9" w:rsidP="004321DB">
      <w:pPr>
        <w:spacing w:after="0"/>
        <w:jc w:val="both"/>
        <w:rPr>
          <w:rFonts w:cs="Arial"/>
          <w:szCs w:val="24"/>
        </w:rPr>
      </w:pPr>
      <w:r w:rsidRPr="005A65D5">
        <w:rPr>
          <w:rFonts w:cs="Arial"/>
          <w:szCs w:val="24"/>
        </w:rPr>
        <w:t xml:space="preserve">The table reflects </w:t>
      </w:r>
      <w:r w:rsidR="004034E7" w:rsidRPr="005A65D5">
        <w:rPr>
          <w:rFonts w:cs="Arial"/>
          <w:szCs w:val="24"/>
        </w:rPr>
        <w:t xml:space="preserve">the </w:t>
      </w:r>
      <w:r w:rsidR="00736F79">
        <w:rPr>
          <w:rFonts w:cs="Arial"/>
          <w:szCs w:val="24"/>
        </w:rPr>
        <w:t>following:</w:t>
      </w:r>
    </w:p>
    <w:p w:rsidR="00EA505A" w:rsidRDefault="00EA505A" w:rsidP="004321DB">
      <w:pPr>
        <w:spacing w:after="0"/>
        <w:jc w:val="both"/>
        <w:rPr>
          <w:rFonts w:cs="Arial"/>
          <w:szCs w:val="24"/>
        </w:rPr>
      </w:pPr>
    </w:p>
    <w:p w:rsidR="00EA505A" w:rsidRDefault="00736F79" w:rsidP="00EA505A">
      <w:pPr>
        <w:pStyle w:val="ListParagraph"/>
        <w:numPr>
          <w:ilvl w:val="0"/>
          <w:numId w:val="6"/>
        </w:numPr>
        <w:spacing w:after="0"/>
        <w:ind w:left="284" w:hanging="284"/>
        <w:jc w:val="both"/>
        <w:rPr>
          <w:rFonts w:cs="Arial"/>
          <w:szCs w:val="24"/>
        </w:rPr>
      </w:pPr>
      <w:r w:rsidRPr="00736F79">
        <w:rPr>
          <w:rFonts w:cs="Arial"/>
          <w:szCs w:val="24"/>
        </w:rPr>
        <w:t>I</w:t>
      </w:r>
      <w:r w:rsidR="004034E7" w:rsidRPr="00736F79">
        <w:rPr>
          <w:rFonts w:cs="Arial"/>
          <w:szCs w:val="24"/>
        </w:rPr>
        <w:t>mpact of further cost pressures</w:t>
      </w:r>
      <w:r w:rsidR="006D57A9" w:rsidRPr="00736F79">
        <w:rPr>
          <w:rFonts w:cs="Arial"/>
          <w:szCs w:val="24"/>
        </w:rPr>
        <w:t>,</w:t>
      </w:r>
    </w:p>
    <w:p w:rsidR="00736F79" w:rsidRPr="00EA505A" w:rsidRDefault="004034E7" w:rsidP="00EA505A">
      <w:pPr>
        <w:pStyle w:val="ListParagraph"/>
        <w:spacing w:after="0"/>
        <w:ind w:left="284"/>
        <w:jc w:val="both"/>
        <w:rPr>
          <w:rFonts w:cs="Arial"/>
          <w:szCs w:val="24"/>
        </w:rPr>
      </w:pPr>
      <w:r w:rsidRPr="00EA505A">
        <w:rPr>
          <w:rFonts w:cs="Arial"/>
          <w:szCs w:val="24"/>
        </w:rPr>
        <w:t xml:space="preserve"> </w:t>
      </w:r>
    </w:p>
    <w:p w:rsidR="00736F79" w:rsidRDefault="00736F79" w:rsidP="00AA35F3">
      <w:pPr>
        <w:pStyle w:val="ListParagraph"/>
        <w:numPr>
          <w:ilvl w:val="0"/>
          <w:numId w:val="6"/>
        </w:numPr>
        <w:spacing w:after="0"/>
        <w:ind w:left="284" w:hanging="284"/>
        <w:jc w:val="both"/>
        <w:rPr>
          <w:rFonts w:cs="Arial"/>
          <w:szCs w:val="24"/>
        </w:rPr>
      </w:pPr>
      <w:r>
        <w:rPr>
          <w:rFonts w:cs="Arial"/>
          <w:szCs w:val="24"/>
        </w:rPr>
        <w:t>C</w:t>
      </w:r>
      <w:r w:rsidR="004034E7" w:rsidRPr="00736F79">
        <w:rPr>
          <w:rFonts w:cs="Arial"/>
          <w:szCs w:val="24"/>
        </w:rPr>
        <w:t>hanges in the level of resources</w:t>
      </w:r>
      <w:r w:rsidR="00907D24" w:rsidRPr="00736F79">
        <w:rPr>
          <w:rFonts w:cs="Arial"/>
          <w:szCs w:val="24"/>
        </w:rPr>
        <w:t xml:space="preserve"> that are currently known</w:t>
      </w:r>
      <w:r w:rsidR="006D57A9" w:rsidRPr="00736F79">
        <w:rPr>
          <w:rFonts w:cs="Arial"/>
          <w:szCs w:val="24"/>
        </w:rPr>
        <w:t xml:space="preserve">, </w:t>
      </w:r>
    </w:p>
    <w:p w:rsidR="00EA505A" w:rsidRDefault="00EA505A" w:rsidP="00EA505A">
      <w:pPr>
        <w:pStyle w:val="ListParagraph"/>
        <w:spacing w:after="0"/>
        <w:ind w:left="284"/>
        <w:jc w:val="both"/>
        <w:rPr>
          <w:rFonts w:cs="Arial"/>
          <w:szCs w:val="24"/>
        </w:rPr>
      </w:pPr>
    </w:p>
    <w:p w:rsidR="00736F79" w:rsidRDefault="00736F79" w:rsidP="00AA35F3">
      <w:pPr>
        <w:pStyle w:val="ListParagraph"/>
        <w:numPr>
          <w:ilvl w:val="0"/>
          <w:numId w:val="6"/>
        </w:numPr>
        <w:spacing w:after="0"/>
        <w:ind w:left="284" w:hanging="284"/>
        <w:jc w:val="both"/>
        <w:rPr>
          <w:rFonts w:cs="Arial"/>
          <w:szCs w:val="24"/>
        </w:rPr>
      </w:pPr>
      <w:r>
        <w:rPr>
          <w:rFonts w:cs="Arial"/>
          <w:szCs w:val="24"/>
        </w:rPr>
        <w:t>T</w:t>
      </w:r>
      <w:r w:rsidR="006D57A9" w:rsidRPr="00736F79">
        <w:rPr>
          <w:rFonts w:cs="Arial"/>
          <w:szCs w:val="24"/>
        </w:rPr>
        <w:t xml:space="preserve">he Cabinet's recommendation of a council tax increase of </w:t>
      </w:r>
      <w:r w:rsidR="0029176C" w:rsidRPr="00736F79">
        <w:rPr>
          <w:rFonts w:cs="Arial"/>
          <w:szCs w:val="24"/>
        </w:rPr>
        <w:t>3</w:t>
      </w:r>
      <w:r w:rsidR="006D57A9" w:rsidRPr="00736F79">
        <w:rPr>
          <w:rFonts w:cs="Arial"/>
          <w:szCs w:val="24"/>
        </w:rPr>
        <w:t>.99% in 201</w:t>
      </w:r>
      <w:r w:rsidR="0029176C" w:rsidRPr="00736F79">
        <w:rPr>
          <w:rFonts w:cs="Arial"/>
          <w:szCs w:val="24"/>
        </w:rPr>
        <w:t>6</w:t>
      </w:r>
      <w:r w:rsidR="006D57A9" w:rsidRPr="00736F79">
        <w:rPr>
          <w:rFonts w:cs="Arial"/>
          <w:szCs w:val="24"/>
        </w:rPr>
        <w:t>/1</w:t>
      </w:r>
      <w:r w:rsidR="0029176C" w:rsidRPr="00736F79">
        <w:rPr>
          <w:rFonts w:cs="Arial"/>
          <w:szCs w:val="24"/>
        </w:rPr>
        <w:t>7</w:t>
      </w:r>
      <w:r w:rsidR="006D57A9" w:rsidRPr="00736F79">
        <w:rPr>
          <w:rFonts w:cs="Arial"/>
          <w:szCs w:val="24"/>
        </w:rPr>
        <w:t>,</w:t>
      </w:r>
    </w:p>
    <w:p w:rsidR="00EA505A" w:rsidRDefault="00EA505A" w:rsidP="00EA505A">
      <w:pPr>
        <w:pStyle w:val="ListParagraph"/>
        <w:spacing w:after="0"/>
        <w:ind w:left="284"/>
        <w:jc w:val="both"/>
        <w:rPr>
          <w:rFonts w:cs="Arial"/>
          <w:szCs w:val="24"/>
        </w:rPr>
      </w:pPr>
    </w:p>
    <w:p w:rsidR="00736F79" w:rsidRDefault="00736F79" w:rsidP="00AA35F3">
      <w:pPr>
        <w:pStyle w:val="ListParagraph"/>
        <w:numPr>
          <w:ilvl w:val="0"/>
          <w:numId w:val="6"/>
        </w:numPr>
        <w:spacing w:after="0"/>
        <w:ind w:left="284" w:hanging="284"/>
        <w:jc w:val="both"/>
        <w:rPr>
          <w:rFonts w:cs="Arial"/>
          <w:szCs w:val="24"/>
        </w:rPr>
      </w:pPr>
      <w:r>
        <w:rPr>
          <w:rFonts w:cs="Arial"/>
          <w:szCs w:val="24"/>
        </w:rPr>
        <w:t>T</w:t>
      </w:r>
      <w:r w:rsidR="00907D24" w:rsidRPr="00736F79">
        <w:rPr>
          <w:rFonts w:cs="Arial"/>
          <w:szCs w:val="24"/>
        </w:rPr>
        <w:t>he anticipated</w:t>
      </w:r>
      <w:r w:rsidR="003C0621" w:rsidRPr="00736F79">
        <w:rPr>
          <w:rFonts w:cs="Arial"/>
          <w:szCs w:val="24"/>
        </w:rPr>
        <w:t xml:space="preserve"> use of one-off resources in 201</w:t>
      </w:r>
      <w:r w:rsidR="0029176C" w:rsidRPr="00736F79">
        <w:rPr>
          <w:rFonts w:cs="Arial"/>
          <w:szCs w:val="24"/>
        </w:rPr>
        <w:t>6</w:t>
      </w:r>
      <w:r w:rsidR="003C0621" w:rsidRPr="00736F79">
        <w:rPr>
          <w:rFonts w:cs="Arial"/>
          <w:szCs w:val="24"/>
        </w:rPr>
        <w:t>/1</w:t>
      </w:r>
      <w:r w:rsidR="0029176C" w:rsidRPr="00736F79">
        <w:rPr>
          <w:rFonts w:cs="Arial"/>
          <w:szCs w:val="24"/>
        </w:rPr>
        <w:t>7</w:t>
      </w:r>
      <w:r w:rsidR="006D57A9" w:rsidRPr="00736F79">
        <w:rPr>
          <w:rFonts w:cs="Arial"/>
          <w:szCs w:val="24"/>
        </w:rPr>
        <w:t>,</w:t>
      </w:r>
    </w:p>
    <w:p w:rsidR="00EA505A" w:rsidRDefault="00EA505A" w:rsidP="00EA505A">
      <w:pPr>
        <w:pStyle w:val="ListParagraph"/>
        <w:spacing w:after="0"/>
        <w:ind w:left="284"/>
        <w:jc w:val="both"/>
        <w:rPr>
          <w:rFonts w:cs="Arial"/>
          <w:szCs w:val="24"/>
        </w:rPr>
      </w:pPr>
    </w:p>
    <w:p w:rsidR="00736F79" w:rsidRDefault="00736F79" w:rsidP="00AA35F3">
      <w:pPr>
        <w:pStyle w:val="ListParagraph"/>
        <w:numPr>
          <w:ilvl w:val="0"/>
          <w:numId w:val="6"/>
        </w:numPr>
        <w:spacing w:after="0"/>
        <w:ind w:left="284" w:hanging="284"/>
        <w:jc w:val="both"/>
        <w:rPr>
          <w:rFonts w:cs="Arial"/>
          <w:szCs w:val="24"/>
        </w:rPr>
      </w:pPr>
      <w:r>
        <w:rPr>
          <w:rFonts w:cs="Arial"/>
          <w:szCs w:val="24"/>
        </w:rPr>
        <w:t>T</w:t>
      </w:r>
      <w:r w:rsidR="00DC77B6" w:rsidRPr="00736F79">
        <w:rPr>
          <w:rFonts w:cs="Arial"/>
          <w:szCs w:val="24"/>
        </w:rPr>
        <w:t>he provision of final figures by</w:t>
      </w:r>
      <w:r w:rsidR="00344586" w:rsidRPr="00736F79">
        <w:rPr>
          <w:rFonts w:cs="Arial"/>
          <w:szCs w:val="24"/>
        </w:rPr>
        <w:t xml:space="preserve"> </w:t>
      </w:r>
      <w:r w:rsidR="00DC77B6" w:rsidRPr="00736F79">
        <w:rPr>
          <w:rFonts w:cs="Arial"/>
          <w:szCs w:val="24"/>
        </w:rPr>
        <w:t>the City and Borough Councils in respect of Council Tax base and Business Rates income</w:t>
      </w:r>
      <w:r>
        <w:rPr>
          <w:rFonts w:cs="Arial"/>
          <w:szCs w:val="24"/>
        </w:rPr>
        <w:t>,</w:t>
      </w:r>
      <w:r w:rsidR="00632869" w:rsidRPr="00736F79">
        <w:rPr>
          <w:rFonts w:cs="Arial"/>
          <w:szCs w:val="24"/>
        </w:rPr>
        <w:t xml:space="preserve"> and</w:t>
      </w:r>
    </w:p>
    <w:p w:rsidR="00EA505A" w:rsidRDefault="00EA505A" w:rsidP="00EA505A">
      <w:pPr>
        <w:pStyle w:val="ListParagraph"/>
        <w:spacing w:after="0"/>
        <w:ind w:left="284"/>
        <w:jc w:val="both"/>
        <w:rPr>
          <w:rFonts w:cs="Arial"/>
          <w:szCs w:val="24"/>
        </w:rPr>
      </w:pPr>
    </w:p>
    <w:p w:rsidR="00624D24" w:rsidRDefault="00736F79" w:rsidP="00AA35F3">
      <w:pPr>
        <w:pStyle w:val="ListParagraph"/>
        <w:numPr>
          <w:ilvl w:val="0"/>
          <w:numId w:val="6"/>
        </w:numPr>
        <w:spacing w:after="0"/>
        <w:ind w:left="284" w:hanging="284"/>
        <w:jc w:val="both"/>
        <w:rPr>
          <w:rFonts w:cs="Arial"/>
          <w:szCs w:val="24"/>
        </w:rPr>
      </w:pPr>
      <w:r>
        <w:rPr>
          <w:rFonts w:cs="Arial"/>
          <w:szCs w:val="24"/>
        </w:rPr>
        <w:t>T</w:t>
      </w:r>
      <w:r w:rsidR="006A216A" w:rsidRPr="00736F79">
        <w:rPr>
          <w:rFonts w:cs="Arial"/>
          <w:szCs w:val="24"/>
        </w:rPr>
        <w:t>he</w:t>
      </w:r>
      <w:r w:rsidR="008E4942" w:rsidRPr="00736F79">
        <w:rPr>
          <w:rFonts w:cs="Arial"/>
          <w:szCs w:val="24"/>
        </w:rPr>
        <w:t xml:space="preserve"> impact of the</w:t>
      </w:r>
      <w:r w:rsidR="006A216A" w:rsidRPr="00736F79">
        <w:rPr>
          <w:rFonts w:cs="Arial"/>
          <w:szCs w:val="24"/>
        </w:rPr>
        <w:t xml:space="preserve"> s</w:t>
      </w:r>
      <w:r w:rsidR="008E4942" w:rsidRPr="00736F79">
        <w:rPr>
          <w:rFonts w:cs="Arial"/>
          <w:szCs w:val="24"/>
        </w:rPr>
        <w:t>ervice</w:t>
      </w:r>
      <w:r w:rsidR="006A216A" w:rsidRPr="00736F79">
        <w:rPr>
          <w:rFonts w:cs="Arial"/>
          <w:szCs w:val="24"/>
        </w:rPr>
        <w:t xml:space="preserve"> </w:t>
      </w:r>
      <w:r w:rsidR="0045334D" w:rsidRPr="00736F79">
        <w:rPr>
          <w:rFonts w:cs="Arial"/>
          <w:szCs w:val="24"/>
        </w:rPr>
        <w:t xml:space="preserve">offer </w:t>
      </w:r>
      <w:r w:rsidR="006A216A" w:rsidRPr="00736F79">
        <w:rPr>
          <w:rFonts w:cs="Arial"/>
          <w:szCs w:val="24"/>
        </w:rPr>
        <w:t xml:space="preserve">proposals that have been recommended to </w:t>
      </w:r>
      <w:r w:rsidR="00EA0F97">
        <w:rPr>
          <w:rFonts w:cs="Arial"/>
          <w:szCs w:val="24"/>
        </w:rPr>
        <w:t>Full</w:t>
      </w:r>
      <w:r w:rsidR="006A216A" w:rsidRPr="00736F79">
        <w:rPr>
          <w:rFonts w:cs="Arial"/>
          <w:szCs w:val="24"/>
        </w:rPr>
        <w:t xml:space="preserve"> Council following consultation with </w:t>
      </w:r>
      <w:r>
        <w:rPr>
          <w:rFonts w:cs="Arial"/>
          <w:szCs w:val="24"/>
        </w:rPr>
        <w:t xml:space="preserve">the </w:t>
      </w:r>
      <w:r w:rsidR="00EA0F97">
        <w:rPr>
          <w:rFonts w:cs="Arial"/>
          <w:szCs w:val="24"/>
        </w:rPr>
        <w:t xml:space="preserve">County </w:t>
      </w:r>
      <w:r>
        <w:rPr>
          <w:rFonts w:cs="Arial"/>
          <w:szCs w:val="24"/>
        </w:rPr>
        <w:t>Council's key stakeholders.</w:t>
      </w:r>
    </w:p>
    <w:p w:rsidR="000326F0" w:rsidRDefault="000326F0" w:rsidP="000326F0">
      <w:pPr>
        <w:spacing w:after="0"/>
        <w:rPr>
          <w:rFonts w:cs="Arial"/>
          <w:szCs w:val="24"/>
        </w:rPr>
      </w:pPr>
    </w:p>
    <w:p w:rsidR="000326F0" w:rsidRDefault="000326F0" w:rsidP="000326F0">
      <w:pPr>
        <w:spacing w:after="0"/>
        <w:jc w:val="both"/>
        <w:rPr>
          <w:rFonts w:cs="Arial"/>
          <w:szCs w:val="24"/>
        </w:rPr>
      </w:pPr>
      <w:r>
        <w:rPr>
          <w:rFonts w:cs="Arial"/>
          <w:szCs w:val="24"/>
        </w:rPr>
        <w:t>In the table, the additional Council Tax-base income is applied to reducing the funding gap from £200.507m to £194.854m, and the additional one-off resources are applied to reserves.</w:t>
      </w:r>
    </w:p>
    <w:p w:rsidR="00624D24" w:rsidRDefault="00624D24">
      <w:pPr>
        <w:rPr>
          <w:rFonts w:cs="Arial"/>
          <w:szCs w:val="24"/>
        </w:rPr>
      </w:pPr>
      <w:r>
        <w:rPr>
          <w:rFonts w:cs="Arial"/>
          <w:szCs w:val="24"/>
        </w:rPr>
        <w:br w:type="page"/>
      </w:r>
    </w:p>
    <w:p w:rsidR="00546F65" w:rsidRPr="00624D24" w:rsidRDefault="00624D24" w:rsidP="00624D24">
      <w:pPr>
        <w:spacing w:after="0"/>
        <w:jc w:val="both"/>
        <w:rPr>
          <w:rFonts w:cs="Arial"/>
          <w:szCs w:val="24"/>
        </w:rPr>
      </w:pPr>
      <w:r w:rsidRPr="00624D24">
        <w:rPr>
          <w:rFonts w:cs="Arial"/>
          <w:b/>
          <w:szCs w:val="24"/>
        </w:rPr>
        <w:lastRenderedPageBreak/>
        <w:t>T</w:t>
      </w:r>
      <w:r w:rsidR="0031170D" w:rsidRPr="00624D24">
        <w:rPr>
          <w:rFonts w:cs="Arial"/>
          <w:b/>
          <w:szCs w:val="24"/>
        </w:rPr>
        <w:t>able 8</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019"/>
        <w:gridCol w:w="1020"/>
        <w:gridCol w:w="1019"/>
        <w:gridCol w:w="1020"/>
        <w:gridCol w:w="1019"/>
        <w:gridCol w:w="1020"/>
      </w:tblGrid>
      <w:tr w:rsidR="00736F79" w:rsidRPr="00252953" w:rsidTr="00736F79">
        <w:trPr>
          <w:trHeight w:val="795"/>
          <w:jc w:val="center"/>
        </w:trPr>
        <w:tc>
          <w:tcPr>
            <w:tcW w:w="3042" w:type="dxa"/>
            <w:shd w:val="clear" w:color="auto" w:fill="BFBFBF" w:themeFill="background1" w:themeFillShade="BF"/>
            <w:hideMark/>
          </w:tcPr>
          <w:p w:rsidR="00A93928" w:rsidRPr="00252953" w:rsidRDefault="00A93928" w:rsidP="004321DB">
            <w:pPr>
              <w:spacing w:after="0"/>
              <w:jc w:val="both"/>
              <w:rPr>
                <w:rFonts w:cs="Arial"/>
                <w:b/>
                <w:bCs/>
                <w:color w:val="000000"/>
                <w:sz w:val="22"/>
                <w:lang w:eastAsia="en-GB"/>
              </w:rPr>
            </w:pPr>
          </w:p>
        </w:tc>
        <w:tc>
          <w:tcPr>
            <w:tcW w:w="1019" w:type="dxa"/>
            <w:shd w:val="clear" w:color="auto" w:fill="BFBFBF" w:themeFill="background1" w:themeFillShade="BF"/>
            <w:vAlign w:val="center"/>
            <w:hideMark/>
          </w:tcPr>
          <w:p w:rsidR="00A93928" w:rsidRPr="00252953" w:rsidRDefault="00A93928" w:rsidP="004321DB">
            <w:pPr>
              <w:spacing w:after="0"/>
              <w:jc w:val="center"/>
              <w:rPr>
                <w:rFonts w:cs="Arial"/>
                <w:b/>
                <w:bCs/>
                <w:color w:val="000000"/>
                <w:sz w:val="22"/>
                <w:lang w:eastAsia="en-GB"/>
              </w:rPr>
            </w:pPr>
            <w:r w:rsidRPr="00252953">
              <w:rPr>
                <w:rFonts w:cs="Arial"/>
                <w:b/>
                <w:bCs/>
                <w:color w:val="000000"/>
                <w:sz w:val="22"/>
                <w:lang w:eastAsia="en-GB"/>
              </w:rPr>
              <w:t>2016/17</w:t>
            </w:r>
          </w:p>
          <w:p w:rsidR="00317423" w:rsidRPr="00252953" w:rsidRDefault="00317423" w:rsidP="004321DB">
            <w:pPr>
              <w:spacing w:after="0"/>
              <w:jc w:val="center"/>
              <w:rPr>
                <w:rFonts w:cs="Arial"/>
                <w:b/>
                <w:bCs/>
                <w:color w:val="000000"/>
                <w:sz w:val="22"/>
                <w:lang w:eastAsia="en-GB"/>
              </w:rPr>
            </w:pPr>
            <w:r w:rsidRPr="00252953">
              <w:rPr>
                <w:rFonts w:cs="Arial"/>
                <w:b/>
                <w:bCs/>
                <w:color w:val="000000"/>
                <w:sz w:val="22"/>
                <w:lang w:eastAsia="en-GB"/>
              </w:rPr>
              <w:t>£m</w:t>
            </w:r>
          </w:p>
        </w:tc>
        <w:tc>
          <w:tcPr>
            <w:tcW w:w="1020" w:type="dxa"/>
            <w:shd w:val="clear" w:color="auto" w:fill="BFBFBF" w:themeFill="background1" w:themeFillShade="BF"/>
            <w:vAlign w:val="center"/>
            <w:hideMark/>
          </w:tcPr>
          <w:p w:rsidR="00A93928" w:rsidRPr="00252953" w:rsidRDefault="00A93928" w:rsidP="004321DB">
            <w:pPr>
              <w:spacing w:after="0"/>
              <w:jc w:val="center"/>
              <w:rPr>
                <w:rFonts w:cs="Arial"/>
                <w:b/>
                <w:bCs/>
                <w:color w:val="000000"/>
                <w:sz w:val="22"/>
                <w:lang w:eastAsia="en-GB"/>
              </w:rPr>
            </w:pPr>
            <w:r w:rsidRPr="00252953">
              <w:rPr>
                <w:rFonts w:cs="Arial"/>
                <w:b/>
                <w:bCs/>
                <w:color w:val="000000"/>
                <w:sz w:val="22"/>
                <w:lang w:eastAsia="en-GB"/>
              </w:rPr>
              <w:t>2017/18</w:t>
            </w:r>
          </w:p>
          <w:p w:rsidR="00317423" w:rsidRPr="00252953" w:rsidRDefault="00317423" w:rsidP="004321DB">
            <w:pPr>
              <w:spacing w:after="0"/>
              <w:jc w:val="center"/>
              <w:rPr>
                <w:rFonts w:cs="Arial"/>
                <w:b/>
                <w:bCs/>
                <w:color w:val="000000"/>
                <w:sz w:val="22"/>
                <w:lang w:eastAsia="en-GB"/>
              </w:rPr>
            </w:pPr>
            <w:r w:rsidRPr="00252953">
              <w:rPr>
                <w:rFonts w:cs="Arial"/>
                <w:b/>
                <w:bCs/>
                <w:color w:val="000000"/>
                <w:sz w:val="22"/>
                <w:lang w:eastAsia="en-GB"/>
              </w:rPr>
              <w:t>£m</w:t>
            </w:r>
          </w:p>
        </w:tc>
        <w:tc>
          <w:tcPr>
            <w:tcW w:w="1019" w:type="dxa"/>
            <w:shd w:val="clear" w:color="auto" w:fill="BFBFBF" w:themeFill="background1" w:themeFillShade="BF"/>
            <w:vAlign w:val="center"/>
            <w:hideMark/>
          </w:tcPr>
          <w:p w:rsidR="00A93928" w:rsidRPr="00252953" w:rsidRDefault="00A93928" w:rsidP="004321DB">
            <w:pPr>
              <w:spacing w:after="0"/>
              <w:jc w:val="center"/>
              <w:rPr>
                <w:rFonts w:cs="Arial"/>
                <w:b/>
                <w:bCs/>
                <w:color w:val="000000"/>
                <w:sz w:val="22"/>
                <w:lang w:eastAsia="en-GB"/>
              </w:rPr>
            </w:pPr>
            <w:r w:rsidRPr="00252953">
              <w:rPr>
                <w:rFonts w:cs="Arial"/>
                <w:b/>
                <w:bCs/>
                <w:color w:val="000000"/>
                <w:sz w:val="22"/>
                <w:lang w:eastAsia="en-GB"/>
              </w:rPr>
              <w:t>2018/19</w:t>
            </w:r>
          </w:p>
          <w:p w:rsidR="00317423" w:rsidRPr="00252953" w:rsidRDefault="00317423" w:rsidP="004321DB">
            <w:pPr>
              <w:spacing w:after="0"/>
              <w:jc w:val="center"/>
              <w:rPr>
                <w:rFonts w:cs="Arial"/>
                <w:b/>
                <w:bCs/>
                <w:color w:val="000000"/>
                <w:sz w:val="22"/>
                <w:lang w:eastAsia="en-GB"/>
              </w:rPr>
            </w:pPr>
            <w:r w:rsidRPr="00252953">
              <w:rPr>
                <w:rFonts w:cs="Arial"/>
                <w:b/>
                <w:bCs/>
                <w:color w:val="000000"/>
                <w:sz w:val="22"/>
                <w:lang w:eastAsia="en-GB"/>
              </w:rPr>
              <w:t>£m</w:t>
            </w:r>
          </w:p>
        </w:tc>
        <w:tc>
          <w:tcPr>
            <w:tcW w:w="1020" w:type="dxa"/>
            <w:shd w:val="clear" w:color="auto" w:fill="BFBFBF" w:themeFill="background1" w:themeFillShade="BF"/>
            <w:vAlign w:val="center"/>
          </w:tcPr>
          <w:p w:rsidR="00A93928" w:rsidRPr="00252953" w:rsidRDefault="00A93928" w:rsidP="004321DB">
            <w:pPr>
              <w:spacing w:after="0"/>
              <w:jc w:val="center"/>
              <w:rPr>
                <w:rFonts w:cs="Arial"/>
                <w:b/>
                <w:bCs/>
                <w:color w:val="000000"/>
                <w:sz w:val="22"/>
                <w:lang w:eastAsia="en-GB"/>
              </w:rPr>
            </w:pPr>
            <w:r w:rsidRPr="00252953">
              <w:rPr>
                <w:rFonts w:cs="Arial"/>
                <w:b/>
                <w:bCs/>
                <w:color w:val="000000"/>
                <w:sz w:val="22"/>
                <w:lang w:eastAsia="en-GB"/>
              </w:rPr>
              <w:t>2019/20</w:t>
            </w:r>
          </w:p>
          <w:p w:rsidR="00317423" w:rsidRPr="00252953" w:rsidRDefault="00317423" w:rsidP="004321DB">
            <w:pPr>
              <w:spacing w:after="0"/>
              <w:jc w:val="center"/>
              <w:rPr>
                <w:rFonts w:cs="Arial"/>
                <w:b/>
                <w:bCs/>
                <w:color w:val="000000"/>
                <w:sz w:val="22"/>
                <w:lang w:eastAsia="en-GB"/>
              </w:rPr>
            </w:pPr>
            <w:r w:rsidRPr="00252953">
              <w:rPr>
                <w:rFonts w:cs="Arial"/>
                <w:b/>
                <w:bCs/>
                <w:color w:val="000000"/>
                <w:sz w:val="22"/>
                <w:lang w:eastAsia="en-GB"/>
              </w:rPr>
              <w:t>£m</w:t>
            </w:r>
          </w:p>
        </w:tc>
        <w:tc>
          <w:tcPr>
            <w:tcW w:w="1019" w:type="dxa"/>
            <w:shd w:val="clear" w:color="auto" w:fill="BFBFBF" w:themeFill="background1" w:themeFillShade="BF"/>
            <w:vAlign w:val="center"/>
          </w:tcPr>
          <w:p w:rsidR="00A93928" w:rsidRPr="00252953" w:rsidRDefault="00A93928" w:rsidP="004321DB">
            <w:pPr>
              <w:spacing w:after="0"/>
              <w:jc w:val="center"/>
              <w:rPr>
                <w:rFonts w:cs="Arial"/>
                <w:b/>
                <w:bCs/>
                <w:color w:val="000000"/>
                <w:sz w:val="22"/>
                <w:lang w:eastAsia="en-GB"/>
              </w:rPr>
            </w:pPr>
            <w:r w:rsidRPr="00252953">
              <w:rPr>
                <w:rFonts w:cs="Arial"/>
                <w:b/>
                <w:bCs/>
                <w:color w:val="000000"/>
                <w:sz w:val="22"/>
                <w:lang w:eastAsia="en-GB"/>
              </w:rPr>
              <w:t>2020/21</w:t>
            </w:r>
          </w:p>
          <w:p w:rsidR="00317423" w:rsidRPr="00252953" w:rsidRDefault="00317423" w:rsidP="004321DB">
            <w:pPr>
              <w:spacing w:after="0"/>
              <w:jc w:val="center"/>
              <w:rPr>
                <w:rFonts w:cs="Arial"/>
                <w:b/>
                <w:bCs/>
                <w:color w:val="000000"/>
                <w:sz w:val="22"/>
                <w:lang w:eastAsia="en-GB"/>
              </w:rPr>
            </w:pPr>
            <w:r w:rsidRPr="00252953">
              <w:rPr>
                <w:rFonts w:cs="Arial"/>
                <w:b/>
                <w:bCs/>
                <w:color w:val="000000"/>
                <w:sz w:val="22"/>
                <w:lang w:eastAsia="en-GB"/>
              </w:rPr>
              <w:t>£m</w:t>
            </w:r>
          </w:p>
        </w:tc>
        <w:tc>
          <w:tcPr>
            <w:tcW w:w="1020" w:type="dxa"/>
            <w:shd w:val="clear" w:color="auto" w:fill="BFBFBF" w:themeFill="background1" w:themeFillShade="BF"/>
            <w:vAlign w:val="center"/>
            <w:hideMark/>
          </w:tcPr>
          <w:p w:rsidR="00A93928" w:rsidRPr="00252953" w:rsidRDefault="00A93928" w:rsidP="004321DB">
            <w:pPr>
              <w:spacing w:after="0"/>
              <w:jc w:val="center"/>
              <w:rPr>
                <w:rFonts w:cs="Arial"/>
                <w:b/>
                <w:bCs/>
                <w:color w:val="000000"/>
                <w:sz w:val="22"/>
                <w:lang w:eastAsia="en-GB"/>
              </w:rPr>
            </w:pPr>
            <w:r w:rsidRPr="00252953">
              <w:rPr>
                <w:rFonts w:cs="Arial"/>
                <w:b/>
                <w:bCs/>
                <w:color w:val="000000"/>
                <w:sz w:val="22"/>
                <w:lang w:eastAsia="en-GB"/>
              </w:rPr>
              <w:t>Total</w:t>
            </w:r>
          </w:p>
          <w:p w:rsidR="00317423" w:rsidRPr="00252953" w:rsidRDefault="00317423" w:rsidP="004321DB">
            <w:pPr>
              <w:spacing w:after="0"/>
              <w:jc w:val="center"/>
              <w:rPr>
                <w:rFonts w:cs="Arial"/>
                <w:b/>
                <w:bCs/>
                <w:color w:val="000000"/>
                <w:sz w:val="22"/>
                <w:lang w:eastAsia="en-GB"/>
              </w:rPr>
            </w:pPr>
            <w:r w:rsidRPr="00252953">
              <w:rPr>
                <w:rFonts w:cs="Arial"/>
                <w:b/>
                <w:bCs/>
                <w:color w:val="000000"/>
                <w:sz w:val="22"/>
                <w:lang w:eastAsia="en-GB"/>
              </w:rPr>
              <w:t>£m</w:t>
            </w:r>
          </w:p>
        </w:tc>
      </w:tr>
      <w:tr w:rsidR="00736F79" w:rsidRPr="00252953" w:rsidTr="000326F0">
        <w:trPr>
          <w:trHeight w:val="1141"/>
          <w:jc w:val="center"/>
        </w:trPr>
        <w:tc>
          <w:tcPr>
            <w:tcW w:w="3042" w:type="dxa"/>
            <w:shd w:val="clear" w:color="auto" w:fill="auto"/>
            <w:vAlign w:val="center"/>
            <w:hideMark/>
          </w:tcPr>
          <w:p w:rsidR="00317423" w:rsidRPr="00252953" w:rsidRDefault="00317423" w:rsidP="004321DB">
            <w:pPr>
              <w:spacing w:after="0"/>
              <w:rPr>
                <w:rFonts w:cs="Arial"/>
                <w:b/>
                <w:color w:val="000000"/>
                <w:sz w:val="22"/>
                <w:lang w:eastAsia="en-GB"/>
              </w:rPr>
            </w:pPr>
            <w:r w:rsidRPr="00252953">
              <w:rPr>
                <w:rFonts w:cs="Arial"/>
                <w:b/>
                <w:color w:val="000000"/>
                <w:sz w:val="22"/>
                <w:lang w:eastAsia="en-GB"/>
              </w:rPr>
              <w:t>Spending Gap as reported to Full Council February 2015</w:t>
            </w:r>
          </w:p>
        </w:tc>
        <w:tc>
          <w:tcPr>
            <w:tcW w:w="1019" w:type="dxa"/>
            <w:shd w:val="clear" w:color="auto" w:fill="auto"/>
            <w:vAlign w:val="center"/>
          </w:tcPr>
          <w:p w:rsidR="00317423" w:rsidRPr="00252953" w:rsidRDefault="00112E62" w:rsidP="00624D24">
            <w:pPr>
              <w:spacing w:after="0"/>
              <w:jc w:val="center"/>
              <w:rPr>
                <w:rFonts w:cs="Arial"/>
                <w:b/>
                <w:color w:val="000000"/>
                <w:sz w:val="22"/>
                <w:lang w:eastAsia="en-GB"/>
              </w:rPr>
            </w:pPr>
            <w:r w:rsidRPr="00252953">
              <w:rPr>
                <w:rFonts w:cs="Arial"/>
                <w:b/>
                <w:color w:val="000000"/>
                <w:sz w:val="22"/>
                <w:lang w:eastAsia="en-GB"/>
              </w:rPr>
              <w:t>18.300</w:t>
            </w:r>
          </w:p>
        </w:tc>
        <w:tc>
          <w:tcPr>
            <w:tcW w:w="1020" w:type="dxa"/>
            <w:shd w:val="clear" w:color="auto" w:fill="auto"/>
            <w:vAlign w:val="center"/>
          </w:tcPr>
          <w:p w:rsidR="00317423" w:rsidRPr="00252953" w:rsidRDefault="00112E62" w:rsidP="00624D24">
            <w:pPr>
              <w:spacing w:after="0"/>
              <w:jc w:val="center"/>
              <w:rPr>
                <w:rFonts w:cs="Arial"/>
                <w:b/>
                <w:color w:val="000000"/>
                <w:sz w:val="22"/>
                <w:lang w:eastAsia="en-GB"/>
              </w:rPr>
            </w:pPr>
            <w:r w:rsidRPr="00252953">
              <w:rPr>
                <w:rFonts w:cs="Arial"/>
                <w:b/>
                <w:color w:val="000000"/>
                <w:sz w:val="22"/>
                <w:lang w:eastAsia="en-GB"/>
              </w:rPr>
              <w:t>8.130</w:t>
            </w:r>
          </w:p>
        </w:tc>
        <w:tc>
          <w:tcPr>
            <w:tcW w:w="1019" w:type="dxa"/>
            <w:shd w:val="clear" w:color="auto" w:fill="auto"/>
            <w:vAlign w:val="center"/>
          </w:tcPr>
          <w:p w:rsidR="00317423" w:rsidRPr="00252953" w:rsidRDefault="00317423" w:rsidP="00624D24">
            <w:pPr>
              <w:spacing w:after="0"/>
              <w:jc w:val="center"/>
              <w:rPr>
                <w:rFonts w:cs="Arial"/>
                <w:b/>
                <w:color w:val="000000"/>
                <w:sz w:val="22"/>
                <w:lang w:eastAsia="en-GB"/>
              </w:rPr>
            </w:pPr>
          </w:p>
        </w:tc>
        <w:tc>
          <w:tcPr>
            <w:tcW w:w="1020" w:type="dxa"/>
            <w:vAlign w:val="center"/>
          </w:tcPr>
          <w:p w:rsidR="00317423" w:rsidRPr="00252953" w:rsidRDefault="00317423" w:rsidP="00624D24">
            <w:pPr>
              <w:spacing w:after="0"/>
              <w:jc w:val="center"/>
              <w:rPr>
                <w:rFonts w:cs="Arial"/>
                <w:b/>
                <w:color w:val="000000"/>
                <w:sz w:val="22"/>
                <w:lang w:eastAsia="en-GB"/>
              </w:rPr>
            </w:pPr>
          </w:p>
        </w:tc>
        <w:tc>
          <w:tcPr>
            <w:tcW w:w="1019" w:type="dxa"/>
            <w:vAlign w:val="center"/>
          </w:tcPr>
          <w:p w:rsidR="00317423" w:rsidRPr="00252953" w:rsidRDefault="00317423" w:rsidP="00624D24">
            <w:pPr>
              <w:spacing w:after="0"/>
              <w:jc w:val="center"/>
              <w:rPr>
                <w:rFonts w:cs="Arial"/>
                <w:b/>
                <w:color w:val="000000"/>
                <w:sz w:val="22"/>
                <w:lang w:eastAsia="en-GB"/>
              </w:rPr>
            </w:pP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26.430</w:t>
            </w:r>
          </w:p>
        </w:tc>
      </w:tr>
      <w:tr w:rsidR="00736F79" w:rsidRPr="00252953" w:rsidTr="00624D24">
        <w:trPr>
          <w:trHeight w:val="646"/>
          <w:jc w:val="center"/>
        </w:trPr>
        <w:tc>
          <w:tcPr>
            <w:tcW w:w="3042" w:type="dxa"/>
            <w:shd w:val="clear" w:color="auto" w:fill="BFBFBF" w:themeFill="background1" w:themeFillShade="BF"/>
            <w:vAlign w:val="center"/>
          </w:tcPr>
          <w:p w:rsidR="00317423" w:rsidRPr="00252953" w:rsidRDefault="00317423" w:rsidP="004321DB">
            <w:pPr>
              <w:spacing w:after="0"/>
              <w:rPr>
                <w:rFonts w:cs="Arial"/>
                <w:color w:val="000000"/>
                <w:sz w:val="22"/>
                <w:lang w:eastAsia="en-GB"/>
              </w:rPr>
            </w:pPr>
            <w:r w:rsidRPr="00252953">
              <w:rPr>
                <w:rFonts w:cs="Arial"/>
                <w:color w:val="000000"/>
                <w:sz w:val="22"/>
                <w:lang w:eastAsia="en-GB"/>
              </w:rPr>
              <w:t>Add change to forecast of spending:</w:t>
            </w:r>
          </w:p>
        </w:tc>
        <w:tc>
          <w:tcPr>
            <w:tcW w:w="1019" w:type="dxa"/>
            <w:shd w:val="clear" w:color="auto" w:fill="BFBFBF" w:themeFill="background1" w:themeFillShade="BF"/>
            <w:vAlign w:val="center"/>
          </w:tcPr>
          <w:p w:rsidR="00317423" w:rsidRPr="00252953" w:rsidRDefault="00317423" w:rsidP="00624D24">
            <w:pPr>
              <w:spacing w:after="0"/>
              <w:jc w:val="center"/>
              <w:rPr>
                <w:rFonts w:cs="Arial"/>
                <w:color w:val="000000"/>
                <w:sz w:val="22"/>
                <w:lang w:eastAsia="en-GB"/>
              </w:rPr>
            </w:pPr>
          </w:p>
        </w:tc>
        <w:tc>
          <w:tcPr>
            <w:tcW w:w="1020" w:type="dxa"/>
            <w:shd w:val="clear" w:color="auto" w:fill="BFBFBF" w:themeFill="background1" w:themeFillShade="BF"/>
            <w:vAlign w:val="center"/>
          </w:tcPr>
          <w:p w:rsidR="00317423" w:rsidRPr="00252953" w:rsidRDefault="00317423" w:rsidP="00624D24">
            <w:pPr>
              <w:spacing w:after="0"/>
              <w:jc w:val="center"/>
              <w:rPr>
                <w:rFonts w:cs="Arial"/>
                <w:color w:val="000000"/>
                <w:sz w:val="22"/>
                <w:lang w:eastAsia="en-GB"/>
              </w:rPr>
            </w:pPr>
          </w:p>
        </w:tc>
        <w:tc>
          <w:tcPr>
            <w:tcW w:w="1019" w:type="dxa"/>
            <w:shd w:val="clear" w:color="auto" w:fill="BFBFBF" w:themeFill="background1" w:themeFillShade="BF"/>
            <w:vAlign w:val="center"/>
          </w:tcPr>
          <w:p w:rsidR="00317423" w:rsidRPr="00252953" w:rsidRDefault="00317423" w:rsidP="00624D24">
            <w:pPr>
              <w:spacing w:after="0"/>
              <w:jc w:val="center"/>
              <w:rPr>
                <w:rFonts w:cs="Arial"/>
                <w:color w:val="000000"/>
                <w:sz w:val="22"/>
                <w:lang w:eastAsia="en-GB"/>
              </w:rPr>
            </w:pPr>
          </w:p>
        </w:tc>
        <w:tc>
          <w:tcPr>
            <w:tcW w:w="1020" w:type="dxa"/>
            <w:shd w:val="clear" w:color="auto" w:fill="BFBFBF" w:themeFill="background1" w:themeFillShade="BF"/>
            <w:vAlign w:val="center"/>
          </w:tcPr>
          <w:p w:rsidR="00317423" w:rsidRPr="00252953" w:rsidRDefault="00317423" w:rsidP="00624D24">
            <w:pPr>
              <w:spacing w:after="0"/>
              <w:jc w:val="center"/>
              <w:rPr>
                <w:rFonts w:cs="Arial"/>
                <w:color w:val="000000"/>
                <w:sz w:val="22"/>
                <w:lang w:eastAsia="en-GB"/>
              </w:rPr>
            </w:pPr>
          </w:p>
        </w:tc>
        <w:tc>
          <w:tcPr>
            <w:tcW w:w="1019" w:type="dxa"/>
            <w:shd w:val="clear" w:color="auto" w:fill="BFBFBF" w:themeFill="background1" w:themeFillShade="BF"/>
            <w:vAlign w:val="center"/>
          </w:tcPr>
          <w:p w:rsidR="00317423" w:rsidRPr="00252953" w:rsidRDefault="00317423" w:rsidP="00624D24">
            <w:pPr>
              <w:spacing w:after="0"/>
              <w:jc w:val="center"/>
              <w:rPr>
                <w:rFonts w:cs="Arial"/>
                <w:color w:val="000000"/>
                <w:sz w:val="22"/>
                <w:lang w:eastAsia="en-GB"/>
              </w:rPr>
            </w:pPr>
          </w:p>
        </w:tc>
        <w:tc>
          <w:tcPr>
            <w:tcW w:w="1020" w:type="dxa"/>
            <w:shd w:val="clear" w:color="auto" w:fill="BFBFBF" w:themeFill="background1" w:themeFillShade="BF"/>
            <w:vAlign w:val="center"/>
          </w:tcPr>
          <w:p w:rsidR="00317423" w:rsidRPr="00252953" w:rsidRDefault="00317423" w:rsidP="00624D24">
            <w:pPr>
              <w:spacing w:after="0"/>
              <w:jc w:val="center"/>
              <w:rPr>
                <w:rFonts w:cs="Arial"/>
                <w:color w:val="000000"/>
                <w:sz w:val="22"/>
                <w:lang w:eastAsia="en-GB"/>
              </w:rPr>
            </w:pPr>
          </w:p>
        </w:tc>
      </w:tr>
      <w:tr w:rsidR="00736F79" w:rsidRPr="00252953" w:rsidTr="0002062B">
        <w:trPr>
          <w:trHeight w:val="646"/>
          <w:jc w:val="center"/>
        </w:trPr>
        <w:tc>
          <w:tcPr>
            <w:tcW w:w="3042" w:type="dxa"/>
            <w:shd w:val="clear" w:color="auto" w:fill="auto"/>
            <w:vAlign w:val="center"/>
          </w:tcPr>
          <w:p w:rsidR="00317423" w:rsidRPr="00252953" w:rsidRDefault="00317423" w:rsidP="004321DB">
            <w:pPr>
              <w:spacing w:after="0"/>
              <w:rPr>
                <w:rFonts w:cs="Arial"/>
                <w:color w:val="000000"/>
                <w:sz w:val="22"/>
                <w:lang w:eastAsia="en-GB"/>
              </w:rPr>
            </w:pPr>
            <w:r w:rsidRPr="00252953">
              <w:rPr>
                <w:rFonts w:cs="Arial"/>
                <w:color w:val="000000"/>
                <w:sz w:val="22"/>
                <w:lang w:eastAsia="en-GB"/>
              </w:rPr>
              <w:t xml:space="preserve">Service Demand </w:t>
            </w:r>
            <w:r w:rsidR="00112E62" w:rsidRPr="00252953">
              <w:rPr>
                <w:rFonts w:cs="Arial"/>
                <w:color w:val="000000"/>
                <w:sz w:val="22"/>
                <w:lang w:eastAsia="en-GB"/>
              </w:rPr>
              <w:t xml:space="preserve">and volume </w:t>
            </w:r>
            <w:r w:rsidRPr="00252953">
              <w:rPr>
                <w:rFonts w:cs="Arial"/>
                <w:color w:val="000000"/>
                <w:sz w:val="22"/>
                <w:lang w:eastAsia="en-GB"/>
              </w:rPr>
              <w:t>Pressures</w:t>
            </w:r>
          </w:p>
        </w:tc>
        <w:tc>
          <w:tcPr>
            <w:tcW w:w="1019" w:type="dxa"/>
            <w:shd w:val="clear" w:color="auto" w:fill="auto"/>
            <w:vAlign w:val="center"/>
          </w:tcPr>
          <w:p w:rsidR="00317423" w:rsidRPr="00252953" w:rsidRDefault="00112E62" w:rsidP="00624D24">
            <w:pPr>
              <w:spacing w:after="0"/>
              <w:jc w:val="center"/>
              <w:rPr>
                <w:rFonts w:cs="Arial"/>
                <w:color w:val="000000"/>
                <w:sz w:val="22"/>
                <w:lang w:eastAsia="en-GB"/>
              </w:rPr>
            </w:pPr>
            <w:r w:rsidRPr="00252953">
              <w:rPr>
                <w:rFonts w:cs="Arial"/>
                <w:color w:val="000000"/>
                <w:sz w:val="22"/>
                <w:lang w:eastAsia="en-GB"/>
              </w:rPr>
              <w:t>28.119</w:t>
            </w:r>
          </w:p>
        </w:tc>
        <w:tc>
          <w:tcPr>
            <w:tcW w:w="1020" w:type="dxa"/>
            <w:shd w:val="clear" w:color="auto" w:fill="auto"/>
            <w:vAlign w:val="center"/>
          </w:tcPr>
          <w:p w:rsidR="00317423" w:rsidRPr="00252953" w:rsidRDefault="00A02A48" w:rsidP="00624D24">
            <w:pPr>
              <w:spacing w:after="0"/>
              <w:jc w:val="center"/>
              <w:rPr>
                <w:rFonts w:cs="Arial"/>
                <w:color w:val="000000"/>
                <w:sz w:val="22"/>
                <w:lang w:eastAsia="en-GB"/>
              </w:rPr>
            </w:pPr>
            <w:r w:rsidRPr="00252953">
              <w:rPr>
                <w:rFonts w:cs="Arial"/>
                <w:color w:val="000000"/>
                <w:sz w:val="22"/>
                <w:lang w:eastAsia="en-GB"/>
              </w:rPr>
              <w:t>4.506</w:t>
            </w:r>
          </w:p>
        </w:tc>
        <w:tc>
          <w:tcPr>
            <w:tcW w:w="1019" w:type="dxa"/>
            <w:shd w:val="clear" w:color="auto" w:fill="auto"/>
            <w:vAlign w:val="center"/>
          </w:tcPr>
          <w:p w:rsidR="00317423" w:rsidRPr="00252953" w:rsidRDefault="000D0B44" w:rsidP="00624D24">
            <w:pPr>
              <w:spacing w:after="0"/>
              <w:jc w:val="center"/>
              <w:rPr>
                <w:rFonts w:cs="Arial"/>
                <w:color w:val="000000"/>
                <w:sz w:val="22"/>
                <w:lang w:eastAsia="en-GB"/>
              </w:rPr>
            </w:pPr>
            <w:r w:rsidRPr="00252953">
              <w:rPr>
                <w:rFonts w:cs="Arial"/>
                <w:color w:val="000000"/>
                <w:sz w:val="22"/>
                <w:lang w:eastAsia="en-GB"/>
              </w:rPr>
              <w:t>16.180</w:t>
            </w:r>
          </w:p>
        </w:tc>
        <w:tc>
          <w:tcPr>
            <w:tcW w:w="1020" w:type="dxa"/>
            <w:vAlign w:val="center"/>
          </w:tcPr>
          <w:p w:rsidR="00317423" w:rsidRPr="00252953" w:rsidRDefault="000D0B44" w:rsidP="00624D24">
            <w:pPr>
              <w:spacing w:after="0"/>
              <w:jc w:val="center"/>
              <w:rPr>
                <w:rFonts w:cs="Arial"/>
                <w:color w:val="000000"/>
                <w:sz w:val="22"/>
                <w:lang w:eastAsia="en-GB"/>
              </w:rPr>
            </w:pPr>
            <w:r w:rsidRPr="00252953">
              <w:rPr>
                <w:rFonts w:cs="Arial"/>
                <w:color w:val="000000"/>
                <w:sz w:val="22"/>
                <w:lang w:eastAsia="en-GB"/>
              </w:rPr>
              <w:t>17.357</w:t>
            </w:r>
          </w:p>
        </w:tc>
        <w:tc>
          <w:tcPr>
            <w:tcW w:w="1019" w:type="dxa"/>
            <w:vAlign w:val="center"/>
          </w:tcPr>
          <w:p w:rsidR="00317423" w:rsidRPr="00252953" w:rsidRDefault="000D0B44" w:rsidP="00624D24">
            <w:pPr>
              <w:spacing w:after="0"/>
              <w:jc w:val="center"/>
              <w:rPr>
                <w:rFonts w:cs="Arial"/>
                <w:color w:val="000000"/>
                <w:sz w:val="22"/>
                <w:lang w:eastAsia="en-GB"/>
              </w:rPr>
            </w:pPr>
            <w:r w:rsidRPr="00252953">
              <w:rPr>
                <w:rFonts w:cs="Arial"/>
                <w:color w:val="000000"/>
                <w:sz w:val="22"/>
                <w:lang w:eastAsia="en-GB"/>
              </w:rPr>
              <w:t>18.896</w:t>
            </w: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85.058</w:t>
            </w:r>
          </w:p>
        </w:tc>
      </w:tr>
      <w:tr w:rsidR="00736F79" w:rsidRPr="00252953" w:rsidTr="0002062B">
        <w:trPr>
          <w:trHeight w:val="646"/>
          <w:jc w:val="center"/>
        </w:trPr>
        <w:tc>
          <w:tcPr>
            <w:tcW w:w="3042" w:type="dxa"/>
            <w:shd w:val="clear" w:color="auto" w:fill="auto"/>
            <w:vAlign w:val="center"/>
          </w:tcPr>
          <w:p w:rsidR="00317423" w:rsidRPr="00252953" w:rsidRDefault="00317423" w:rsidP="004321DB">
            <w:pPr>
              <w:spacing w:after="0"/>
              <w:rPr>
                <w:rFonts w:cs="Arial"/>
                <w:color w:val="000000"/>
                <w:sz w:val="22"/>
                <w:lang w:eastAsia="en-GB"/>
              </w:rPr>
            </w:pPr>
            <w:r w:rsidRPr="00252953">
              <w:rPr>
                <w:rFonts w:cs="Arial"/>
                <w:color w:val="000000"/>
                <w:sz w:val="22"/>
                <w:lang w:eastAsia="en-GB"/>
              </w:rPr>
              <w:t>Inflation and Cost Changes</w:t>
            </w:r>
          </w:p>
        </w:tc>
        <w:tc>
          <w:tcPr>
            <w:tcW w:w="1019" w:type="dxa"/>
            <w:shd w:val="clear" w:color="auto" w:fill="auto"/>
            <w:vAlign w:val="center"/>
          </w:tcPr>
          <w:p w:rsidR="00317423" w:rsidRPr="00252953" w:rsidRDefault="00112E62" w:rsidP="00624D24">
            <w:pPr>
              <w:spacing w:after="0"/>
              <w:jc w:val="center"/>
              <w:rPr>
                <w:rFonts w:cs="Arial"/>
                <w:color w:val="000000"/>
                <w:sz w:val="22"/>
                <w:lang w:eastAsia="en-GB"/>
              </w:rPr>
            </w:pPr>
            <w:r w:rsidRPr="00252953">
              <w:rPr>
                <w:rFonts w:cs="Arial"/>
                <w:color w:val="000000"/>
                <w:sz w:val="22"/>
                <w:lang w:eastAsia="en-GB"/>
              </w:rPr>
              <w:t>-4.432</w:t>
            </w:r>
          </w:p>
        </w:tc>
        <w:tc>
          <w:tcPr>
            <w:tcW w:w="1020" w:type="dxa"/>
            <w:shd w:val="clear" w:color="auto" w:fill="auto"/>
            <w:vAlign w:val="center"/>
          </w:tcPr>
          <w:p w:rsidR="00317423" w:rsidRPr="00252953" w:rsidRDefault="00A02A48" w:rsidP="00624D24">
            <w:pPr>
              <w:spacing w:after="0"/>
              <w:jc w:val="center"/>
              <w:rPr>
                <w:rFonts w:cs="Arial"/>
                <w:color w:val="000000"/>
                <w:sz w:val="22"/>
                <w:lang w:eastAsia="en-GB"/>
              </w:rPr>
            </w:pPr>
            <w:r w:rsidRPr="00252953">
              <w:rPr>
                <w:rFonts w:cs="Arial"/>
                <w:color w:val="000000"/>
                <w:sz w:val="22"/>
                <w:lang w:eastAsia="en-GB"/>
              </w:rPr>
              <w:t>2.526</w:t>
            </w:r>
          </w:p>
        </w:tc>
        <w:tc>
          <w:tcPr>
            <w:tcW w:w="1019" w:type="dxa"/>
            <w:shd w:val="clear" w:color="auto" w:fill="auto"/>
            <w:vAlign w:val="center"/>
          </w:tcPr>
          <w:p w:rsidR="00317423" w:rsidRPr="00252953" w:rsidRDefault="000D0B44" w:rsidP="00624D24">
            <w:pPr>
              <w:spacing w:after="0"/>
              <w:jc w:val="center"/>
              <w:rPr>
                <w:rFonts w:cs="Arial"/>
                <w:color w:val="000000"/>
                <w:sz w:val="22"/>
                <w:lang w:eastAsia="en-GB"/>
              </w:rPr>
            </w:pPr>
            <w:r w:rsidRPr="00252953">
              <w:rPr>
                <w:rFonts w:cs="Arial"/>
                <w:color w:val="000000"/>
                <w:sz w:val="22"/>
                <w:lang w:eastAsia="en-GB"/>
              </w:rPr>
              <w:t>26.879</w:t>
            </w:r>
          </w:p>
        </w:tc>
        <w:tc>
          <w:tcPr>
            <w:tcW w:w="1020" w:type="dxa"/>
            <w:vAlign w:val="center"/>
          </w:tcPr>
          <w:p w:rsidR="00317423" w:rsidRPr="00252953" w:rsidRDefault="000D0B44" w:rsidP="00624D24">
            <w:pPr>
              <w:spacing w:after="0"/>
              <w:jc w:val="center"/>
              <w:rPr>
                <w:rFonts w:cs="Arial"/>
                <w:color w:val="000000"/>
                <w:sz w:val="22"/>
                <w:lang w:eastAsia="en-GB"/>
              </w:rPr>
            </w:pPr>
            <w:r w:rsidRPr="00252953">
              <w:rPr>
                <w:rFonts w:cs="Arial"/>
                <w:color w:val="000000"/>
                <w:sz w:val="22"/>
                <w:lang w:eastAsia="en-GB"/>
              </w:rPr>
              <w:t>27.380</w:t>
            </w:r>
          </w:p>
        </w:tc>
        <w:tc>
          <w:tcPr>
            <w:tcW w:w="1019" w:type="dxa"/>
            <w:vAlign w:val="center"/>
          </w:tcPr>
          <w:p w:rsidR="00317423" w:rsidRPr="00252953" w:rsidRDefault="000D0B44" w:rsidP="00624D24">
            <w:pPr>
              <w:spacing w:after="0"/>
              <w:jc w:val="center"/>
              <w:rPr>
                <w:rFonts w:cs="Arial"/>
                <w:color w:val="000000"/>
                <w:sz w:val="22"/>
                <w:lang w:eastAsia="en-GB"/>
              </w:rPr>
            </w:pPr>
            <w:r w:rsidRPr="00252953">
              <w:rPr>
                <w:rFonts w:cs="Arial"/>
                <w:color w:val="000000"/>
                <w:sz w:val="22"/>
                <w:lang w:eastAsia="en-GB"/>
              </w:rPr>
              <w:t>29.028</w:t>
            </w: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81.381</w:t>
            </w:r>
          </w:p>
        </w:tc>
      </w:tr>
      <w:tr w:rsidR="00736F79" w:rsidRPr="00252953" w:rsidTr="0002062B">
        <w:trPr>
          <w:trHeight w:val="646"/>
          <w:jc w:val="center"/>
        </w:trPr>
        <w:tc>
          <w:tcPr>
            <w:tcW w:w="3042" w:type="dxa"/>
            <w:shd w:val="clear" w:color="auto" w:fill="auto"/>
            <w:vAlign w:val="center"/>
          </w:tcPr>
          <w:p w:rsidR="00317423" w:rsidRPr="00252953" w:rsidRDefault="00112E62" w:rsidP="004321DB">
            <w:pPr>
              <w:spacing w:after="0"/>
              <w:rPr>
                <w:rFonts w:cs="Arial"/>
                <w:color w:val="000000"/>
                <w:sz w:val="22"/>
                <w:lang w:eastAsia="en-GB"/>
              </w:rPr>
            </w:pPr>
            <w:r w:rsidRPr="00252953">
              <w:rPr>
                <w:rFonts w:cs="Arial"/>
                <w:color w:val="000000"/>
                <w:sz w:val="22"/>
                <w:lang w:eastAsia="en-GB"/>
              </w:rPr>
              <w:t>Loss of specific grant</w:t>
            </w:r>
          </w:p>
        </w:tc>
        <w:tc>
          <w:tcPr>
            <w:tcW w:w="1019" w:type="dxa"/>
            <w:shd w:val="clear" w:color="auto" w:fill="auto"/>
            <w:vAlign w:val="center"/>
          </w:tcPr>
          <w:p w:rsidR="00317423" w:rsidRPr="00252953" w:rsidRDefault="00112E62" w:rsidP="00624D24">
            <w:pPr>
              <w:spacing w:after="0"/>
              <w:jc w:val="center"/>
              <w:rPr>
                <w:rFonts w:cs="Arial"/>
                <w:color w:val="000000"/>
                <w:sz w:val="22"/>
                <w:lang w:eastAsia="en-GB"/>
              </w:rPr>
            </w:pPr>
            <w:r w:rsidRPr="00252953">
              <w:rPr>
                <w:rFonts w:cs="Arial"/>
                <w:color w:val="000000"/>
                <w:sz w:val="22"/>
                <w:lang w:eastAsia="en-GB"/>
              </w:rPr>
              <w:t>4.000</w:t>
            </w:r>
          </w:p>
        </w:tc>
        <w:tc>
          <w:tcPr>
            <w:tcW w:w="1020" w:type="dxa"/>
            <w:shd w:val="clear" w:color="auto" w:fill="auto"/>
            <w:vAlign w:val="center"/>
          </w:tcPr>
          <w:p w:rsidR="00317423" w:rsidRPr="00252953" w:rsidRDefault="00317423" w:rsidP="00624D24">
            <w:pPr>
              <w:spacing w:after="0"/>
              <w:jc w:val="center"/>
              <w:rPr>
                <w:rFonts w:cs="Arial"/>
                <w:color w:val="000000"/>
                <w:sz w:val="22"/>
                <w:lang w:eastAsia="en-GB"/>
              </w:rPr>
            </w:pPr>
          </w:p>
        </w:tc>
        <w:tc>
          <w:tcPr>
            <w:tcW w:w="1019" w:type="dxa"/>
            <w:shd w:val="clear" w:color="auto" w:fill="auto"/>
            <w:vAlign w:val="center"/>
          </w:tcPr>
          <w:p w:rsidR="00317423" w:rsidRPr="00252953" w:rsidRDefault="00317423" w:rsidP="00624D24">
            <w:pPr>
              <w:spacing w:after="0"/>
              <w:jc w:val="center"/>
              <w:rPr>
                <w:rFonts w:cs="Arial"/>
                <w:color w:val="000000"/>
                <w:sz w:val="22"/>
                <w:lang w:eastAsia="en-GB"/>
              </w:rPr>
            </w:pPr>
          </w:p>
        </w:tc>
        <w:tc>
          <w:tcPr>
            <w:tcW w:w="1020" w:type="dxa"/>
            <w:vAlign w:val="center"/>
          </w:tcPr>
          <w:p w:rsidR="00317423" w:rsidRPr="00252953" w:rsidRDefault="00317423" w:rsidP="00624D24">
            <w:pPr>
              <w:spacing w:after="0"/>
              <w:jc w:val="center"/>
              <w:rPr>
                <w:rFonts w:cs="Arial"/>
                <w:color w:val="000000"/>
                <w:sz w:val="22"/>
                <w:lang w:eastAsia="en-GB"/>
              </w:rPr>
            </w:pPr>
          </w:p>
        </w:tc>
        <w:tc>
          <w:tcPr>
            <w:tcW w:w="1019" w:type="dxa"/>
            <w:vAlign w:val="center"/>
          </w:tcPr>
          <w:p w:rsidR="00317423" w:rsidRPr="00252953" w:rsidRDefault="00317423" w:rsidP="00624D24">
            <w:pPr>
              <w:spacing w:after="0"/>
              <w:jc w:val="center"/>
              <w:rPr>
                <w:rFonts w:cs="Arial"/>
                <w:color w:val="000000"/>
                <w:sz w:val="22"/>
                <w:lang w:eastAsia="en-GB"/>
              </w:rPr>
            </w:pP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4.000</w:t>
            </w:r>
          </w:p>
        </w:tc>
      </w:tr>
      <w:tr w:rsidR="00736F79" w:rsidRPr="00252953" w:rsidTr="0002062B">
        <w:trPr>
          <w:trHeight w:val="646"/>
          <w:jc w:val="center"/>
        </w:trPr>
        <w:tc>
          <w:tcPr>
            <w:tcW w:w="3042" w:type="dxa"/>
            <w:shd w:val="clear" w:color="auto" w:fill="auto"/>
            <w:vAlign w:val="center"/>
          </w:tcPr>
          <w:p w:rsidR="00317423" w:rsidRPr="00252953" w:rsidRDefault="00317423" w:rsidP="004321DB">
            <w:pPr>
              <w:spacing w:after="0"/>
              <w:rPr>
                <w:rFonts w:cs="Arial"/>
                <w:color w:val="000000"/>
                <w:sz w:val="22"/>
                <w:lang w:eastAsia="en-GB"/>
              </w:rPr>
            </w:pPr>
            <w:r w:rsidRPr="00252953">
              <w:rPr>
                <w:rFonts w:cs="Arial"/>
                <w:color w:val="000000"/>
                <w:sz w:val="22"/>
                <w:lang w:eastAsia="en-GB"/>
              </w:rPr>
              <w:t>Savings identified</w:t>
            </w:r>
          </w:p>
        </w:tc>
        <w:tc>
          <w:tcPr>
            <w:tcW w:w="1019" w:type="dxa"/>
            <w:shd w:val="clear" w:color="auto" w:fill="auto"/>
            <w:vAlign w:val="center"/>
          </w:tcPr>
          <w:p w:rsidR="00317423" w:rsidRPr="00252953" w:rsidRDefault="00A02A48" w:rsidP="00624D24">
            <w:pPr>
              <w:spacing w:after="0"/>
              <w:jc w:val="center"/>
              <w:rPr>
                <w:rFonts w:cs="Arial"/>
                <w:color w:val="000000"/>
                <w:sz w:val="22"/>
                <w:lang w:eastAsia="en-GB"/>
              </w:rPr>
            </w:pPr>
            <w:r w:rsidRPr="00252953">
              <w:rPr>
                <w:rFonts w:cs="Arial"/>
                <w:color w:val="000000"/>
                <w:sz w:val="22"/>
                <w:lang w:eastAsia="en-GB"/>
              </w:rPr>
              <w:t>-23.392</w:t>
            </w:r>
          </w:p>
        </w:tc>
        <w:tc>
          <w:tcPr>
            <w:tcW w:w="1020" w:type="dxa"/>
            <w:shd w:val="clear" w:color="auto" w:fill="auto"/>
            <w:vAlign w:val="center"/>
          </w:tcPr>
          <w:p w:rsidR="00317423" w:rsidRPr="00252953" w:rsidRDefault="00A02A48" w:rsidP="00624D24">
            <w:pPr>
              <w:spacing w:after="0"/>
              <w:jc w:val="center"/>
              <w:rPr>
                <w:rFonts w:cs="Arial"/>
                <w:color w:val="000000"/>
                <w:sz w:val="22"/>
                <w:lang w:eastAsia="en-GB"/>
              </w:rPr>
            </w:pPr>
            <w:r w:rsidRPr="00252953">
              <w:rPr>
                <w:rFonts w:cs="Arial"/>
                <w:color w:val="000000"/>
                <w:sz w:val="22"/>
                <w:lang w:eastAsia="en-GB"/>
              </w:rPr>
              <w:t>11.367</w:t>
            </w:r>
          </w:p>
        </w:tc>
        <w:tc>
          <w:tcPr>
            <w:tcW w:w="1019" w:type="dxa"/>
            <w:shd w:val="clear" w:color="auto" w:fill="auto"/>
            <w:vAlign w:val="center"/>
          </w:tcPr>
          <w:p w:rsidR="00317423" w:rsidRPr="00252953" w:rsidRDefault="00317423" w:rsidP="00624D24">
            <w:pPr>
              <w:spacing w:after="0"/>
              <w:jc w:val="center"/>
              <w:rPr>
                <w:rFonts w:cs="Arial"/>
                <w:color w:val="000000"/>
                <w:sz w:val="22"/>
                <w:lang w:eastAsia="en-GB"/>
              </w:rPr>
            </w:pPr>
          </w:p>
        </w:tc>
        <w:tc>
          <w:tcPr>
            <w:tcW w:w="1020" w:type="dxa"/>
            <w:vAlign w:val="center"/>
          </w:tcPr>
          <w:p w:rsidR="00317423" w:rsidRPr="00252953" w:rsidRDefault="00317423" w:rsidP="00624D24">
            <w:pPr>
              <w:spacing w:after="0"/>
              <w:jc w:val="center"/>
              <w:rPr>
                <w:rFonts w:cs="Arial"/>
                <w:color w:val="000000"/>
                <w:sz w:val="22"/>
                <w:lang w:eastAsia="en-GB"/>
              </w:rPr>
            </w:pPr>
          </w:p>
        </w:tc>
        <w:tc>
          <w:tcPr>
            <w:tcW w:w="1019" w:type="dxa"/>
            <w:vAlign w:val="center"/>
          </w:tcPr>
          <w:p w:rsidR="00317423" w:rsidRPr="00252953" w:rsidRDefault="00317423" w:rsidP="00624D24">
            <w:pPr>
              <w:spacing w:after="0"/>
              <w:jc w:val="center"/>
              <w:rPr>
                <w:rFonts w:cs="Arial"/>
                <w:color w:val="000000"/>
                <w:sz w:val="22"/>
                <w:lang w:eastAsia="en-GB"/>
              </w:rPr>
            </w:pP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-12.025</w:t>
            </w:r>
          </w:p>
        </w:tc>
      </w:tr>
      <w:tr w:rsidR="00736F79" w:rsidRPr="00252953" w:rsidTr="0002062B">
        <w:trPr>
          <w:trHeight w:val="646"/>
          <w:jc w:val="center"/>
        </w:trPr>
        <w:tc>
          <w:tcPr>
            <w:tcW w:w="3042" w:type="dxa"/>
            <w:shd w:val="clear" w:color="auto" w:fill="auto"/>
            <w:vAlign w:val="center"/>
          </w:tcPr>
          <w:p w:rsidR="00317423" w:rsidRPr="00252953" w:rsidRDefault="00317423" w:rsidP="004321DB">
            <w:pPr>
              <w:spacing w:after="0"/>
              <w:rPr>
                <w:rFonts w:cs="Arial"/>
                <w:b/>
                <w:color w:val="000000"/>
                <w:sz w:val="22"/>
                <w:lang w:eastAsia="en-GB"/>
              </w:rPr>
            </w:pPr>
            <w:r w:rsidRPr="00252953">
              <w:rPr>
                <w:rFonts w:cs="Arial"/>
                <w:b/>
                <w:color w:val="000000"/>
                <w:sz w:val="22"/>
                <w:lang w:eastAsia="en-GB"/>
              </w:rPr>
              <w:t>Total Change to Forecast of Spending</w:t>
            </w:r>
          </w:p>
        </w:tc>
        <w:tc>
          <w:tcPr>
            <w:tcW w:w="1019" w:type="dxa"/>
            <w:shd w:val="clear" w:color="auto" w:fill="auto"/>
            <w:vAlign w:val="center"/>
          </w:tcPr>
          <w:p w:rsidR="00317423" w:rsidRPr="00252953" w:rsidRDefault="00A02A48" w:rsidP="00624D24">
            <w:pPr>
              <w:spacing w:after="0"/>
              <w:jc w:val="center"/>
              <w:rPr>
                <w:rFonts w:cs="Arial"/>
                <w:b/>
                <w:color w:val="000000"/>
                <w:sz w:val="22"/>
                <w:lang w:eastAsia="en-GB"/>
              </w:rPr>
            </w:pPr>
            <w:r w:rsidRPr="00252953">
              <w:rPr>
                <w:rFonts w:cs="Arial"/>
                <w:b/>
                <w:color w:val="000000"/>
                <w:sz w:val="22"/>
                <w:lang w:eastAsia="en-GB"/>
              </w:rPr>
              <w:t>4.295</w:t>
            </w: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18.399</w:t>
            </w:r>
          </w:p>
        </w:tc>
        <w:tc>
          <w:tcPr>
            <w:tcW w:w="1019"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43.059</w:t>
            </w:r>
          </w:p>
        </w:tc>
        <w:tc>
          <w:tcPr>
            <w:tcW w:w="1020" w:type="dxa"/>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44.737</w:t>
            </w:r>
          </w:p>
        </w:tc>
        <w:tc>
          <w:tcPr>
            <w:tcW w:w="1019" w:type="dxa"/>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47.924</w:t>
            </w: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158.414</w:t>
            </w:r>
          </w:p>
        </w:tc>
      </w:tr>
      <w:tr w:rsidR="00736F79" w:rsidRPr="00252953" w:rsidTr="00624D24">
        <w:trPr>
          <w:trHeight w:val="646"/>
          <w:jc w:val="center"/>
        </w:trPr>
        <w:tc>
          <w:tcPr>
            <w:tcW w:w="3042" w:type="dxa"/>
            <w:shd w:val="clear" w:color="auto" w:fill="BFBFBF" w:themeFill="background1" w:themeFillShade="BF"/>
            <w:vAlign w:val="center"/>
          </w:tcPr>
          <w:p w:rsidR="00317423" w:rsidRPr="00252953" w:rsidRDefault="00A02A48" w:rsidP="004321DB">
            <w:pPr>
              <w:spacing w:after="0"/>
              <w:rPr>
                <w:rFonts w:cs="Arial"/>
                <w:color w:val="000000"/>
                <w:sz w:val="22"/>
                <w:lang w:eastAsia="en-GB"/>
              </w:rPr>
            </w:pPr>
            <w:r w:rsidRPr="00252953">
              <w:rPr>
                <w:rFonts w:cs="Arial"/>
                <w:color w:val="000000"/>
                <w:sz w:val="22"/>
                <w:lang w:eastAsia="en-GB"/>
              </w:rPr>
              <w:t>C</w:t>
            </w:r>
            <w:r w:rsidR="00317423" w:rsidRPr="00252953">
              <w:rPr>
                <w:rFonts w:cs="Arial"/>
                <w:color w:val="000000"/>
                <w:sz w:val="22"/>
                <w:lang w:eastAsia="en-GB"/>
              </w:rPr>
              <w:t>hange to forecast of resources:</w:t>
            </w:r>
          </w:p>
        </w:tc>
        <w:tc>
          <w:tcPr>
            <w:tcW w:w="1019" w:type="dxa"/>
            <w:shd w:val="clear" w:color="auto" w:fill="BFBFBF" w:themeFill="background1" w:themeFillShade="BF"/>
            <w:vAlign w:val="center"/>
          </w:tcPr>
          <w:p w:rsidR="00317423" w:rsidRPr="00252953" w:rsidRDefault="00317423" w:rsidP="00624D24">
            <w:pPr>
              <w:spacing w:after="0"/>
              <w:jc w:val="center"/>
              <w:rPr>
                <w:rFonts w:cs="Arial"/>
                <w:bCs/>
                <w:color w:val="000000"/>
                <w:sz w:val="22"/>
                <w:lang w:eastAsia="en-GB"/>
              </w:rPr>
            </w:pPr>
          </w:p>
        </w:tc>
        <w:tc>
          <w:tcPr>
            <w:tcW w:w="1020" w:type="dxa"/>
            <w:shd w:val="clear" w:color="auto" w:fill="BFBFBF" w:themeFill="background1" w:themeFillShade="BF"/>
            <w:vAlign w:val="center"/>
          </w:tcPr>
          <w:p w:rsidR="00317423" w:rsidRPr="00252953" w:rsidRDefault="00317423" w:rsidP="00624D24">
            <w:pPr>
              <w:spacing w:after="0"/>
              <w:jc w:val="center"/>
              <w:rPr>
                <w:rFonts w:cs="Arial"/>
                <w:bCs/>
                <w:color w:val="000000"/>
                <w:sz w:val="22"/>
                <w:lang w:eastAsia="en-GB"/>
              </w:rPr>
            </w:pPr>
          </w:p>
        </w:tc>
        <w:tc>
          <w:tcPr>
            <w:tcW w:w="1019" w:type="dxa"/>
            <w:shd w:val="clear" w:color="auto" w:fill="BFBFBF" w:themeFill="background1" w:themeFillShade="BF"/>
            <w:vAlign w:val="center"/>
          </w:tcPr>
          <w:p w:rsidR="00317423" w:rsidRPr="00252953" w:rsidRDefault="00317423" w:rsidP="00624D24">
            <w:pPr>
              <w:spacing w:after="0"/>
              <w:jc w:val="center"/>
              <w:rPr>
                <w:rFonts w:cs="Arial"/>
                <w:bCs/>
                <w:color w:val="000000"/>
                <w:sz w:val="22"/>
                <w:lang w:eastAsia="en-GB"/>
              </w:rPr>
            </w:pPr>
          </w:p>
        </w:tc>
        <w:tc>
          <w:tcPr>
            <w:tcW w:w="1020" w:type="dxa"/>
            <w:shd w:val="clear" w:color="auto" w:fill="BFBFBF" w:themeFill="background1" w:themeFillShade="BF"/>
            <w:vAlign w:val="center"/>
          </w:tcPr>
          <w:p w:rsidR="00317423" w:rsidRPr="00252953" w:rsidRDefault="00317423" w:rsidP="00624D24">
            <w:pPr>
              <w:spacing w:after="0"/>
              <w:jc w:val="center"/>
              <w:rPr>
                <w:rFonts w:cs="Arial"/>
                <w:bCs/>
                <w:color w:val="000000"/>
                <w:sz w:val="22"/>
                <w:lang w:eastAsia="en-GB"/>
              </w:rPr>
            </w:pPr>
          </w:p>
        </w:tc>
        <w:tc>
          <w:tcPr>
            <w:tcW w:w="1019" w:type="dxa"/>
            <w:shd w:val="clear" w:color="auto" w:fill="BFBFBF" w:themeFill="background1" w:themeFillShade="BF"/>
            <w:vAlign w:val="center"/>
          </w:tcPr>
          <w:p w:rsidR="00317423" w:rsidRPr="00252953" w:rsidRDefault="00317423" w:rsidP="00624D24">
            <w:pPr>
              <w:spacing w:after="0"/>
              <w:jc w:val="center"/>
              <w:rPr>
                <w:rFonts w:cs="Arial"/>
                <w:bCs/>
                <w:color w:val="000000"/>
                <w:sz w:val="22"/>
                <w:lang w:eastAsia="en-GB"/>
              </w:rPr>
            </w:pPr>
          </w:p>
        </w:tc>
        <w:tc>
          <w:tcPr>
            <w:tcW w:w="1020" w:type="dxa"/>
            <w:shd w:val="clear" w:color="auto" w:fill="BFBFBF" w:themeFill="background1" w:themeFillShade="BF"/>
            <w:vAlign w:val="center"/>
          </w:tcPr>
          <w:p w:rsidR="00317423" w:rsidRPr="00252953" w:rsidRDefault="00317423" w:rsidP="00624D24">
            <w:pPr>
              <w:spacing w:after="0"/>
              <w:jc w:val="center"/>
              <w:rPr>
                <w:rFonts w:cs="Arial"/>
                <w:bCs/>
                <w:color w:val="000000"/>
                <w:sz w:val="22"/>
                <w:lang w:eastAsia="en-GB"/>
              </w:rPr>
            </w:pPr>
          </w:p>
        </w:tc>
      </w:tr>
      <w:tr w:rsidR="00736F79" w:rsidRPr="00252953" w:rsidTr="0002062B">
        <w:trPr>
          <w:trHeight w:val="646"/>
          <w:jc w:val="center"/>
        </w:trPr>
        <w:tc>
          <w:tcPr>
            <w:tcW w:w="3042" w:type="dxa"/>
            <w:shd w:val="clear" w:color="auto" w:fill="auto"/>
            <w:vAlign w:val="center"/>
          </w:tcPr>
          <w:p w:rsidR="00EA22B0" w:rsidRDefault="00EA22B0" w:rsidP="00A02A48">
            <w:pPr>
              <w:spacing w:after="0"/>
              <w:rPr>
                <w:rFonts w:cs="Arial"/>
                <w:color w:val="000000"/>
                <w:sz w:val="22"/>
                <w:lang w:eastAsia="en-GB"/>
              </w:rPr>
            </w:pPr>
          </w:p>
          <w:p w:rsidR="00317423" w:rsidRDefault="00EA22B0" w:rsidP="00A02A48">
            <w:pPr>
              <w:spacing w:after="0"/>
              <w:rPr>
                <w:rFonts w:cs="Arial"/>
                <w:color w:val="000000"/>
                <w:sz w:val="22"/>
                <w:lang w:eastAsia="en-GB"/>
              </w:rPr>
            </w:pPr>
            <w:r>
              <w:rPr>
                <w:rFonts w:cs="Arial"/>
                <w:color w:val="000000"/>
                <w:sz w:val="22"/>
                <w:lang w:eastAsia="en-GB"/>
              </w:rPr>
              <w:t>Central government funding</w:t>
            </w:r>
          </w:p>
          <w:p w:rsidR="00EA22B0" w:rsidRPr="00252953" w:rsidRDefault="00EA22B0" w:rsidP="00A02A48">
            <w:pPr>
              <w:spacing w:after="0"/>
              <w:rPr>
                <w:rFonts w:cs="Arial"/>
                <w:color w:val="000000"/>
                <w:sz w:val="22"/>
                <w:lang w:eastAsia="en-GB"/>
              </w:rPr>
            </w:pPr>
          </w:p>
        </w:tc>
        <w:tc>
          <w:tcPr>
            <w:tcW w:w="1019" w:type="dxa"/>
            <w:shd w:val="clear" w:color="auto" w:fill="auto"/>
            <w:vAlign w:val="center"/>
          </w:tcPr>
          <w:p w:rsidR="00317423" w:rsidRPr="00252953" w:rsidRDefault="00A02A48" w:rsidP="00624D24">
            <w:pPr>
              <w:spacing w:after="0"/>
              <w:jc w:val="center"/>
              <w:rPr>
                <w:rFonts w:cs="Arial"/>
                <w:bCs/>
                <w:color w:val="000000"/>
                <w:sz w:val="22"/>
                <w:lang w:eastAsia="en-GB"/>
              </w:rPr>
            </w:pPr>
            <w:r w:rsidRPr="00252953">
              <w:rPr>
                <w:rFonts w:cs="Arial"/>
                <w:bCs/>
                <w:color w:val="000000"/>
                <w:sz w:val="22"/>
                <w:lang w:eastAsia="en-GB"/>
              </w:rPr>
              <w:t>21.577</w:t>
            </w:r>
          </w:p>
        </w:tc>
        <w:tc>
          <w:tcPr>
            <w:tcW w:w="1020" w:type="dxa"/>
            <w:shd w:val="clear" w:color="auto" w:fill="auto"/>
            <w:vAlign w:val="center"/>
          </w:tcPr>
          <w:p w:rsidR="00317423" w:rsidRPr="00252953" w:rsidRDefault="000D0B44" w:rsidP="00624D24">
            <w:pPr>
              <w:spacing w:after="0"/>
              <w:jc w:val="center"/>
              <w:rPr>
                <w:rFonts w:cs="Arial"/>
                <w:bCs/>
                <w:color w:val="000000"/>
                <w:sz w:val="22"/>
                <w:lang w:eastAsia="en-GB"/>
              </w:rPr>
            </w:pPr>
            <w:r w:rsidRPr="00252953">
              <w:rPr>
                <w:rFonts w:cs="Arial"/>
                <w:bCs/>
                <w:color w:val="000000"/>
                <w:sz w:val="22"/>
                <w:lang w:eastAsia="en-GB"/>
              </w:rPr>
              <w:t>8.849</w:t>
            </w:r>
          </w:p>
        </w:tc>
        <w:tc>
          <w:tcPr>
            <w:tcW w:w="1019" w:type="dxa"/>
            <w:shd w:val="clear" w:color="auto" w:fill="auto"/>
            <w:vAlign w:val="center"/>
          </w:tcPr>
          <w:p w:rsidR="00317423" w:rsidRPr="00252953" w:rsidRDefault="000D0B44" w:rsidP="00624D24">
            <w:pPr>
              <w:spacing w:after="0"/>
              <w:jc w:val="center"/>
              <w:rPr>
                <w:rFonts w:cs="Arial"/>
                <w:bCs/>
                <w:color w:val="000000"/>
                <w:sz w:val="22"/>
                <w:lang w:eastAsia="en-GB"/>
              </w:rPr>
            </w:pPr>
            <w:r w:rsidRPr="00252953">
              <w:rPr>
                <w:rFonts w:cs="Arial"/>
                <w:bCs/>
                <w:color w:val="000000"/>
                <w:sz w:val="22"/>
                <w:lang w:eastAsia="en-GB"/>
              </w:rPr>
              <w:t>0.020</w:t>
            </w:r>
          </w:p>
        </w:tc>
        <w:tc>
          <w:tcPr>
            <w:tcW w:w="1020" w:type="dxa"/>
            <w:vAlign w:val="center"/>
          </w:tcPr>
          <w:p w:rsidR="00317423" w:rsidRPr="00252953" w:rsidRDefault="000D0B44" w:rsidP="00624D24">
            <w:pPr>
              <w:spacing w:after="0"/>
              <w:jc w:val="center"/>
              <w:rPr>
                <w:rFonts w:cs="Arial"/>
                <w:bCs/>
                <w:color w:val="000000"/>
                <w:sz w:val="22"/>
                <w:lang w:eastAsia="en-GB"/>
              </w:rPr>
            </w:pPr>
            <w:r w:rsidRPr="00252953">
              <w:rPr>
                <w:rFonts w:cs="Arial"/>
                <w:bCs/>
                <w:color w:val="000000"/>
                <w:sz w:val="22"/>
                <w:lang w:eastAsia="en-GB"/>
              </w:rPr>
              <w:t>0.877</w:t>
            </w:r>
          </w:p>
        </w:tc>
        <w:tc>
          <w:tcPr>
            <w:tcW w:w="1019" w:type="dxa"/>
            <w:vAlign w:val="center"/>
          </w:tcPr>
          <w:p w:rsidR="00317423" w:rsidRPr="00252953" w:rsidRDefault="000D0B44" w:rsidP="00624D24">
            <w:pPr>
              <w:spacing w:after="0"/>
              <w:jc w:val="center"/>
              <w:rPr>
                <w:rFonts w:cs="Arial"/>
                <w:bCs/>
                <w:color w:val="000000"/>
                <w:sz w:val="22"/>
                <w:lang w:eastAsia="en-GB"/>
              </w:rPr>
            </w:pPr>
            <w:r w:rsidRPr="00252953">
              <w:rPr>
                <w:rFonts w:cs="Arial"/>
                <w:bCs/>
                <w:color w:val="000000"/>
                <w:sz w:val="22"/>
                <w:lang w:eastAsia="en-GB"/>
              </w:rPr>
              <w:t>-0</w:t>
            </w:r>
            <w:r w:rsidR="0031170D" w:rsidRPr="00252953">
              <w:rPr>
                <w:rFonts w:cs="Arial"/>
                <w:bCs/>
                <w:color w:val="000000"/>
                <w:sz w:val="22"/>
                <w:lang w:eastAsia="en-GB"/>
              </w:rPr>
              <w:t>.</w:t>
            </w:r>
            <w:r w:rsidRPr="00252953">
              <w:rPr>
                <w:rFonts w:cs="Arial"/>
                <w:bCs/>
                <w:color w:val="000000"/>
                <w:sz w:val="22"/>
                <w:lang w:eastAsia="en-GB"/>
              </w:rPr>
              <w:t>145</w:t>
            </w:r>
          </w:p>
        </w:tc>
        <w:tc>
          <w:tcPr>
            <w:tcW w:w="1020" w:type="dxa"/>
            <w:shd w:val="clear" w:color="auto" w:fill="auto"/>
            <w:vAlign w:val="center"/>
          </w:tcPr>
          <w:p w:rsidR="00317423" w:rsidRPr="00252953" w:rsidRDefault="000D0B44" w:rsidP="00624D24">
            <w:pPr>
              <w:spacing w:after="0"/>
              <w:jc w:val="center"/>
              <w:rPr>
                <w:rFonts w:cs="Arial"/>
                <w:b/>
                <w:bCs/>
                <w:color w:val="000000"/>
                <w:sz w:val="22"/>
                <w:lang w:eastAsia="en-GB"/>
              </w:rPr>
            </w:pPr>
            <w:r w:rsidRPr="00252953">
              <w:rPr>
                <w:rFonts w:cs="Arial"/>
                <w:b/>
                <w:bCs/>
                <w:color w:val="000000"/>
                <w:sz w:val="22"/>
                <w:lang w:eastAsia="en-GB"/>
              </w:rPr>
              <w:t>31.178</w:t>
            </w:r>
          </w:p>
        </w:tc>
      </w:tr>
      <w:tr w:rsidR="00736F79" w:rsidRPr="00252953" w:rsidTr="0002062B">
        <w:trPr>
          <w:trHeight w:val="646"/>
          <w:jc w:val="center"/>
        </w:trPr>
        <w:tc>
          <w:tcPr>
            <w:tcW w:w="3042" w:type="dxa"/>
            <w:shd w:val="clear" w:color="auto" w:fill="auto"/>
            <w:vAlign w:val="center"/>
          </w:tcPr>
          <w:p w:rsidR="00317423" w:rsidRPr="00252953" w:rsidRDefault="00A02A48" w:rsidP="004321DB">
            <w:pPr>
              <w:spacing w:after="0"/>
              <w:rPr>
                <w:rFonts w:cs="Arial"/>
                <w:color w:val="000000"/>
                <w:sz w:val="22"/>
                <w:lang w:eastAsia="en-GB"/>
              </w:rPr>
            </w:pPr>
            <w:r w:rsidRPr="00252953">
              <w:rPr>
                <w:rFonts w:cs="Arial"/>
                <w:color w:val="000000"/>
                <w:sz w:val="22"/>
                <w:lang w:eastAsia="en-GB"/>
              </w:rPr>
              <w:t>Business rate pooling</w:t>
            </w:r>
          </w:p>
        </w:tc>
        <w:tc>
          <w:tcPr>
            <w:tcW w:w="1019" w:type="dxa"/>
            <w:shd w:val="clear" w:color="auto" w:fill="auto"/>
            <w:vAlign w:val="center"/>
          </w:tcPr>
          <w:p w:rsidR="00317423" w:rsidRPr="00252953" w:rsidRDefault="00A02A48" w:rsidP="00624D24">
            <w:pPr>
              <w:spacing w:after="0"/>
              <w:jc w:val="center"/>
              <w:rPr>
                <w:rFonts w:cs="Arial"/>
                <w:bCs/>
                <w:color w:val="000000"/>
                <w:sz w:val="22"/>
                <w:lang w:eastAsia="en-GB"/>
              </w:rPr>
            </w:pPr>
            <w:r w:rsidRPr="00252953">
              <w:rPr>
                <w:rFonts w:cs="Arial"/>
                <w:bCs/>
                <w:color w:val="000000"/>
                <w:sz w:val="22"/>
                <w:lang w:eastAsia="en-GB"/>
              </w:rPr>
              <w:t>-0.400</w:t>
            </w:r>
          </w:p>
        </w:tc>
        <w:tc>
          <w:tcPr>
            <w:tcW w:w="1020" w:type="dxa"/>
            <w:shd w:val="clear" w:color="auto" w:fill="auto"/>
            <w:vAlign w:val="center"/>
          </w:tcPr>
          <w:p w:rsidR="000D0B44" w:rsidRPr="00252953" w:rsidRDefault="000D0B44" w:rsidP="00624D24">
            <w:pPr>
              <w:spacing w:after="0"/>
              <w:jc w:val="center"/>
              <w:rPr>
                <w:rFonts w:cs="Arial"/>
                <w:bCs/>
                <w:color w:val="000000"/>
                <w:sz w:val="22"/>
                <w:lang w:eastAsia="en-GB"/>
              </w:rPr>
            </w:pPr>
            <w:r w:rsidRPr="00252953">
              <w:rPr>
                <w:rFonts w:cs="Arial"/>
                <w:bCs/>
                <w:color w:val="000000"/>
                <w:sz w:val="22"/>
                <w:lang w:eastAsia="en-GB"/>
              </w:rPr>
              <w:t>0.400</w:t>
            </w:r>
          </w:p>
        </w:tc>
        <w:tc>
          <w:tcPr>
            <w:tcW w:w="1019" w:type="dxa"/>
            <w:shd w:val="clear" w:color="auto" w:fill="auto"/>
            <w:vAlign w:val="center"/>
          </w:tcPr>
          <w:p w:rsidR="00317423" w:rsidRPr="00252953" w:rsidRDefault="00317423" w:rsidP="00624D24">
            <w:pPr>
              <w:spacing w:after="0"/>
              <w:jc w:val="center"/>
              <w:rPr>
                <w:rFonts w:cs="Arial"/>
                <w:bCs/>
                <w:color w:val="000000"/>
                <w:sz w:val="22"/>
                <w:lang w:eastAsia="en-GB"/>
              </w:rPr>
            </w:pPr>
          </w:p>
        </w:tc>
        <w:tc>
          <w:tcPr>
            <w:tcW w:w="1020" w:type="dxa"/>
            <w:vAlign w:val="center"/>
          </w:tcPr>
          <w:p w:rsidR="00317423" w:rsidRPr="00252953" w:rsidRDefault="00317423" w:rsidP="00624D24">
            <w:pPr>
              <w:spacing w:after="0"/>
              <w:jc w:val="center"/>
              <w:rPr>
                <w:rFonts w:cs="Arial"/>
                <w:bCs/>
                <w:color w:val="000000"/>
                <w:sz w:val="22"/>
                <w:lang w:eastAsia="en-GB"/>
              </w:rPr>
            </w:pPr>
          </w:p>
        </w:tc>
        <w:tc>
          <w:tcPr>
            <w:tcW w:w="1019" w:type="dxa"/>
            <w:vAlign w:val="center"/>
          </w:tcPr>
          <w:p w:rsidR="00317423" w:rsidRPr="00252953" w:rsidRDefault="00317423" w:rsidP="00624D24">
            <w:pPr>
              <w:spacing w:after="0"/>
              <w:jc w:val="center"/>
              <w:rPr>
                <w:rFonts w:cs="Arial"/>
                <w:bCs/>
                <w:color w:val="000000"/>
                <w:sz w:val="22"/>
                <w:lang w:eastAsia="en-GB"/>
              </w:rPr>
            </w:pPr>
          </w:p>
        </w:tc>
        <w:tc>
          <w:tcPr>
            <w:tcW w:w="1020" w:type="dxa"/>
            <w:shd w:val="clear" w:color="auto" w:fill="auto"/>
            <w:vAlign w:val="center"/>
          </w:tcPr>
          <w:p w:rsidR="000D0B44" w:rsidRPr="00252953" w:rsidRDefault="000D0B44" w:rsidP="00624D24">
            <w:pPr>
              <w:spacing w:after="0"/>
              <w:jc w:val="center"/>
              <w:rPr>
                <w:rFonts w:cs="Arial"/>
                <w:b/>
                <w:bCs/>
                <w:color w:val="000000"/>
                <w:sz w:val="22"/>
                <w:lang w:eastAsia="en-GB"/>
              </w:rPr>
            </w:pPr>
            <w:r w:rsidRPr="00252953">
              <w:rPr>
                <w:rFonts w:cs="Arial"/>
                <w:b/>
                <w:bCs/>
                <w:color w:val="000000"/>
                <w:sz w:val="22"/>
                <w:lang w:eastAsia="en-GB"/>
              </w:rPr>
              <w:t>0</w:t>
            </w:r>
          </w:p>
        </w:tc>
      </w:tr>
      <w:tr w:rsidR="00736F79" w:rsidRPr="00252953" w:rsidTr="0002062B">
        <w:trPr>
          <w:trHeight w:val="646"/>
          <w:jc w:val="center"/>
        </w:trPr>
        <w:tc>
          <w:tcPr>
            <w:tcW w:w="3042" w:type="dxa"/>
            <w:shd w:val="clear" w:color="auto" w:fill="auto"/>
            <w:vAlign w:val="center"/>
          </w:tcPr>
          <w:p w:rsidR="00317423" w:rsidRPr="00252953" w:rsidRDefault="00A02A48" w:rsidP="004321DB">
            <w:pPr>
              <w:spacing w:after="0"/>
              <w:rPr>
                <w:rFonts w:cs="Arial"/>
                <w:color w:val="000000"/>
                <w:sz w:val="22"/>
                <w:lang w:eastAsia="en-GB"/>
              </w:rPr>
            </w:pPr>
            <w:r w:rsidRPr="00252953">
              <w:rPr>
                <w:rFonts w:cs="Arial"/>
                <w:color w:val="000000"/>
                <w:sz w:val="22"/>
                <w:lang w:eastAsia="en-GB"/>
              </w:rPr>
              <w:t>Capital receipts</w:t>
            </w:r>
          </w:p>
        </w:tc>
        <w:tc>
          <w:tcPr>
            <w:tcW w:w="1019" w:type="dxa"/>
            <w:vAlign w:val="center"/>
          </w:tcPr>
          <w:p w:rsidR="00317423" w:rsidRPr="00252953" w:rsidRDefault="00A02A48" w:rsidP="00624D24">
            <w:pPr>
              <w:spacing w:after="0"/>
              <w:jc w:val="center"/>
              <w:rPr>
                <w:rFonts w:cs="Arial"/>
                <w:bCs/>
                <w:color w:val="000000"/>
                <w:sz w:val="22"/>
                <w:lang w:eastAsia="en-GB"/>
              </w:rPr>
            </w:pPr>
            <w:r w:rsidRPr="00252953">
              <w:rPr>
                <w:rFonts w:cs="Arial"/>
                <w:bCs/>
                <w:color w:val="000000"/>
                <w:sz w:val="22"/>
                <w:lang w:eastAsia="en-GB"/>
              </w:rPr>
              <w:t>-5.000</w:t>
            </w:r>
          </w:p>
        </w:tc>
        <w:tc>
          <w:tcPr>
            <w:tcW w:w="1020" w:type="dxa"/>
            <w:vAlign w:val="center"/>
          </w:tcPr>
          <w:p w:rsidR="00317423" w:rsidRPr="00252953" w:rsidRDefault="000D0B44" w:rsidP="00624D24">
            <w:pPr>
              <w:spacing w:after="0"/>
              <w:jc w:val="center"/>
              <w:rPr>
                <w:rFonts w:cs="Arial"/>
                <w:bCs/>
                <w:color w:val="000000"/>
                <w:sz w:val="22"/>
                <w:lang w:eastAsia="en-GB"/>
              </w:rPr>
            </w:pPr>
            <w:r w:rsidRPr="00252953">
              <w:rPr>
                <w:rFonts w:cs="Arial"/>
                <w:bCs/>
                <w:color w:val="000000"/>
                <w:sz w:val="22"/>
                <w:lang w:eastAsia="en-GB"/>
              </w:rPr>
              <w:t>-7.500</w:t>
            </w:r>
          </w:p>
        </w:tc>
        <w:tc>
          <w:tcPr>
            <w:tcW w:w="1019" w:type="dxa"/>
            <w:vAlign w:val="center"/>
          </w:tcPr>
          <w:p w:rsidR="00317423" w:rsidRPr="00252953" w:rsidRDefault="000D0B44" w:rsidP="00624D24">
            <w:pPr>
              <w:spacing w:after="0"/>
              <w:jc w:val="center"/>
              <w:rPr>
                <w:rFonts w:cs="Arial"/>
                <w:bCs/>
                <w:color w:val="000000"/>
                <w:sz w:val="22"/>
                <w:lang w:eastAsia="en-GB"/>
              </w:rPr>
            </w:pPr>
            <w:r w:rsidRPr="00252953">
              <w:rPr>
                <w:rFonts w:cs="Arial"/>
                <w:bCs/>
                <w:color w:val="000000"/>
                <w:sz w:val="22"/>
                <w:lang w:eastAsia="en-GB"/>
              </w:rPr>
              <w:t>7.500</w:t>
            </w:r>
          </w:p>
        </w:tc>
        <w:tc>
          <w:tcPr>
            <w:tcW w:w="1020" w:type="dxa"/>
            <w:vAlign w:val="center"/>
          </w:tcPr>
          <w:p w:rsidR="00317423" w:rsidRPr="00252953" w:rsidRDefault="000D0B44" w:rsidP="00624D24">
            <w:pPr>
              <w:spacing w:after="0"/>
              <w:jc w:val="center"/>
              <w:rPr>
                <w:rFonts w:cs="Arial"/>
                <w:bCs/>
                <w:color w:val="000000"/>
                <w:sz w:val="22"/>
                <w:lang w:eastAsia="en-GB"/>
              </w:rPr>
            </w:pPr>
            <w:r w:rsidRPr="00252953">
              <w:rPr>
                <w:rFonts w:cs="Arial"/>
                <w:bCs/>
                <w:color w:val="000000"/>
                <w:sz w:val="22"/>
                <w:lang w:eastAsia="en-GB"/>
              </w:rPr>
              <w:t>5.000</w:t>
            </w:r>
          </w:p>
        </w:tc>
        <w:tc>
          <w:tcPr>
            <w:tcW w:w="1019" w:type="dxa"/>
            <w:vAlign w:val="center"/>
          </w:tcPr>
          <w:p w:rsidR="00317423" w:rsidRPr="00252953" w:rsidRDefault="00317423" w:rsidP="00624D24">
            <w:pPr>
              <w:spacing w:after="0"/>
              <w:jc w:val="center"/>
              <w:rPr>
                <w:rFonts w:cs="Arial"/>
                <w:bCs/>
                <w:color w:val="000000"/>
                <w:sz w:val="22"/>
                <w:lang w:eastAsia="en-GB"/>
              </w:rPr>
            </w:pPr>
          </w:p>
        </w:tc>
        <w:tc>
          <w:tcPr>
            <w:tcW w:w="1020" w:type="dxa"/>
            <w:vAlign w:val="center"/>
          </w:tcPr>
          <w:p w:rsidR="000D0B44" w:rsidRPr="00252953" w:rsidRDefault="000D0B44" w:rsidP="00624D24">
            <w:pPr>
              <w:spacing w:after="0"/>
              <w:jc w:val="center"/>
              <w:rPr>
                <w:rFonts w:cs="Arial"/>
                <w:b/>
                <w:bCs/>
                <w:color w:val="000000"/>
                <w:sz w:val="22"/>
                <w:lang w:eastAsia="en-GB"/>
              </w:rPr>
            </w:pPr>
            <w:r w:rsidRPr="00252953">
              <w:rPr>
                <w:rFonts w:cs="Arial"/>
                <w:b/>
                <w:bCs/>
                <w:color w:val="000000"/>
                <w:sz w:val="22"/>
                <w:lang w:eastAsia="en-GB"/>
              </w:rPr>
              <w:t>0</w:t>
            </w:r>
          </w:p>
        </w:tc>
      </w:tr>
      <w:tr w:rsidR="00736F79" w:rsidRPr="00252953" w:rsidTr="0002062B">
        <w:trPr>
          <w:trHeight w:val="646"/>
          <w:jc w:val="center"/>
        </w:trPr>
        <w:tc>
          <w:tcPr>
            <w:tcW w:w="3042" w:type="dxa"/>
            <w:vAlign w:val="center"/>
          </w:tcPr>
          <w:p w:rsidR="00317423" w:rsidRPr="00252953" w:rsidDel="00953D0D" w:rsidRDefault="00A02A48" w:rsidP="004321DB">
            <w:pPr>
              <w:spacing w:after="0"/>
              <w:rPr>
                <w:rFonts w:cs="Arial"/>
                <w:color w:val="000000"/>
                <w:sz w:val="22"/>
                <w:lang w:eastAsia="en-GB"/>
              </w:rPr>
            </w:pPr>
            <w:r w:rsidRPr="00252953">
              <w:rPr>
                <w:rFonts w:cs="Arial"/>
                <w:color w:val="000000"/>
                <w:sz w:val="22"/>
                <w:lang w:eastAsia="en-GB"/>
              </w:rPr>
              <w:t>Council Tax increase 2016/17</w:t>
            </w:r>
          </w:p>
        </w:tc>
        <w:tc>
          <w:tcPr>
            <w:tcW w:w="1019" w:type="dxa"/>
            <w:vAlign w:val="center"/>
          </w:tcPr>
          <w:p w:rsidR="00317423" w:rsidRPr="00252953" w:rsidRDefault="00A02A48" w:rsidP="00624D24">
            <w:pPr>
              <w:spacing w:after="0"/>
              <w:jc w:val="center"/>
              <w:rPr>
                <w:rFonts w:cs="Arial"/>
                <w:color w:val="000000"/>
                <w:sz w:val="22"/>
                <w:lang w:eastAsia="en-GB"/>
              </w:rPr>
            </w:pPr>
            <w:r w:rsidRPr="00252953">
              <w:rPr>
                <w:rFonts w:cs="Arial"/>
                <w:color w:val="000000"/>
                <w:sz w:val="22"/>
                <w:lang w:eastAsia="en-GB"/>
              </w:rPr>
              <w:t>-15.515</w:t>
            </w:r>
          </w:p>
        </w:tc>
        <w:tc>
          <w:tcPr>
            <w:tcW w:w="1020" w:type="dxa"/>
            <w:vAlign w:val="center"/>
          </w:tcPr>
          <w:p w:rsidR="000D0B44" w:rsidRPr="00252953" w:rsidRDefault="000D0B44" w:rsidP="00624D24">
            <w:pPr>
              <w:spacing w:after="0"/>
              <w:jc w:val="center"/>
              <w:rPr>
                <w:rFonts w:cs="Arial"/>
                <w:color w:val="000000"/>
                <w:sz w:val="22"/>
                <w:lang w:eastAsia="en-GB"/>
              </w:rPr>
            </w:pPr>
          </w:p>
        </w:tc>
        <w:tc>
          <w:tcPr>
            <w:tcW w:w="1019" w:type="dxa"/>
            <w:vAlign w:val="center"/>
          </w:tcPr>
          <w:p w:rsidR="00317423" w:rsidRPr="00252953" w:rsidRDefault="00317423" w:rsidP="00624D24">
            <w:pPr>
              <w:spacing w:after="0"/>
              <w:jc w:val="center"/>
              <w:rPr>
                <w:rFonts w:cs="Arial"/>
                <w:color w:val="000000"/>
                <w:sz w:val="22"/>
                <w:lang w:eastAsia="en-GB"/>
              </w:rPr>
            </w:pPr>
          </w:p>
        </w:tc>
        <w:tc>
          <w:tcPr>
            <w:tcW w:w="1020" w:type="dxa"/>
            <w:vAlign w:val="center"/>
          </w:tcPr>
          <w:p w:rsidR="00317423" w:rsidRPr="00252953" w:rsidRDefault="00317423" w:rsidP="00624D24">
            <w:pPr>
              <w:spacing w:after="0"/>
              <w:jc w:val="center"/>
              <w:rPr>
                <w:rFonts w:cs="Arial"/>
                <w:sz w:val="22"/>
                <w:lang w:val="en-US"/>
              </w:rPr>
            </w:pPr>
          </w:p>
        </w:tc>
        <w:tc>
          <w:tcPr>
            <w:tcW w:w="1019" w:type="dxa"/>
            <w:vAlign w:val="center"/>
          </w:tcPr>
          <w:p w:rsidR="00317423" w:rsidRPr="00252953" w:rsidRDefault="00317423" w:rsidP="00624D24">
            <w:pPr>
              <w:spacing w:after="0"/>
              <w:jc w:val="center"/>
              <w:rPr>
                <w:rFonts w:cs="Arial"/>
                <w:sz w:val="22"/>
                <w:lang w:val="en-US"/>
              </w:rPr>
            </w:pPr>
          </w:p>
        </w:tc>
        <w:tc>
          <w:tcPr>
            <w:tcW w:w="1020" w:type="dxa"/>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-15.515</w:t>
            </w:r>
          </w:p>
        </w:tc>
      </w:tr>
      <w:tr w:rsidR="00736F79" w:rsidRPr="00252953" w:rsidTr="000326F0">
        <w:trPr>
          <w:trHeight w:val="748"/>
          <w:jc w:val="center"/>
        </w:trPr>
        <w:tc>
          <w:tcPr>
            <w:tcW w:w="3042" w:type="dxa"/>
            <w:shd w:val="clear" w:color="auto" w:fill="auto"/>
            <w:vAlign w:val="center"/>
          </w:tcPr>
          <w:p w:rsidR="00317423" w:rsidRPr="00252953" w:rsidRDefault="00317423" w:rsidP="004321DB">
            <w:pPr>
              <w:spacing w:after="0"/>
              <w:rPr>
                <w:rFonts w:cs="Arial"/>
                <w:b/>
                <w:color w:val="000000"/>
                <w:sz w:val="22"/>
                <w:lang w:eastAsia="en-GB"/>
              </w:rPr>
            </w:pPr>
            <w:r w:rsidRPr="00252953">
              <w:rPr>
                <w:rFonts w:cs="Arial"/>
                <w:b/>
                <w:color w:val="000000"/>
                <w:sz w:val="22"/>
                <w:lang w:eastAsia="en-GB"/>
              </w:rPr>
              <w:t>Total Change to Forecast of Resources</w:t>
            </w:r>
          </w:p>
        </w:tc>
        <w:tc>
          <w:tcPr>
            <w:tcW w:w="1019" w:type="dxa"/>
            <w:shd w:val="clear" w:color="auto" w:fill="auto"/>
            <w:vAlign w:val="center"/>
          </w:tcPr>
          <w:p w:rsidR="00317423" w:rsidRPr="00252953" w:rsidRDefault="00A02A48" w:rsidP="00624D24">
            <w:pPr>
              <w:spacing w:after="0"/>
              <w:jc w:val="center"/>
              <w:rPr>
                <w:rFonts w:cs="Arial"/>
                <w:b/>
                <w:color w:val="000000"/>
                <w:sz w:val="22"/>
                <w:lang w:eastAsia="en-GB"/>
              </w:rPr>
            </w:pPr>
            <w:r w:rsidRPr="00252953">
              <w:rPr>
                <w:rFonts w:cs="Arial"/>
                <w:b/>
                <w:color w:val="000000"/>
                <w:sz w:val="22"/>
                <w:lang w:eastAsia="en-GB"/>
              </w:rPr>
              <w:t>0.622</w:t>
            </w: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1.749</w:t>
            </w:r>
          </w:p>
        </w:tc>
        <w:tc>
          <w:tcPr>
            <w:tcW w:w="1019"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7.520</w:t>
            </w:r>
          </w:p>
        </w:tc>
        <w:tc>
          <w:tcPr>
            <w:tcW w:w="1020" w:type="dxa"/>
            <w:vAlign w:val="center"/>
          </w:tcPr>
          <w:p w:rsidR="00317423" w:rsidRPr="00252953" w:rsidRDefault="000D0B44" w:rsidP="00624D24">
            <w:pPr>
              <w:spacing w:after="0"/>
              <w:jc w:val="center"/>
              <w:rPr>
                <w:rFonts w:cs="Arial"/>
                <w:b/>
                <w:bCs/>
                <w:color w:val="000000"/>
                <w:sz w:val="22"/>
                <w:lang w:eastAsia="en-GB"/>
              </w:rPr>
            </w:pPr>
            <w:r w:rsidRPr="00252953">
              <w:rPr>
                <w:rFonts w:cs="Arial"/>
                <w:b/>
                <w:bCs/>
                <w:color w:val="000000"/>
                <w:sz w:val="22"/>
                <w:lang w:eastAsia="en-GB"/>
              </w:rPr>
              <w:t>5.877</w:t>
            </w:r>
          </w:p>
        </w:tc>
        <w:tc>
          <w:tcPr>
            <w:tcW w:w="1019" w:type="dxa"/>
            <w:vAlign w:val="center"/>
          </w:tcPr>
          <w:p w:rsidR="00317423" w:rsidRPr="00252953" w:rsidRDefault="000D0B44" w:rsidP="00624D24">
            <w:pPr>
              <w:spacing w:after="0"/>
              <w:jc w:val="center"/>
              <w:rPr>
                <w:rFonts w:cs="Arial"/>
                <w:b/>
                <w:bCs/>
                <w:color w:val="000000"/>
                <w:sz w:val="22"/>
                <w:lang w:eastAsia="en-GB"/>
              </w:rPr>
            </w:pPr>
            <w:r w:rsidRPr="00252953">
              <w:rPr>
                <w:rFonts w:cs="Arial"/>
                <w:b/>
                <w:bCs/>
                <w:color w:val="000000"/>
                <w:sz w:val="22"/>
                <w:lang w:eastAsia="en-GB"/>
              </w:rPr>
              <w:t>-0.145</w:t>
            </w: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15.663</w:t>
            </w:r>
          </w:p>
        </w:tc>
      </w:tr>
      <w:tr w:rsidR="00736F79" w:rsidRPr="00252953" w:rsidTr="000326F0">
        <w:trPr>
          <w:trHeight w:val="1098"/>
          <w:jc w:val="center"/>
        </w:trPr>
        <w:tc>
          <w:tcPr>
            <w:tcW w:w="3042" w:type="dxa"/>
            <w:shd w:val="clear" w:color="auto" w:fill="auto"/>
            <w:vAlign w:val="center"/>
          </w:tcPr>
          <w:p w:rsidR="00317423" w:rsidRPr="00252953" w:rsidRDefault="00317423" w:rsidP="004321DB">
            <w:pPr>
              <w:spacing w:after="0"/>
              <w:rPr>
                <w:rFonts w:cs="Arial"/>
                <w:b/>
                <w:color w:val="000000"/>
                <w:sz w:val="22"/>
                <w:lang w:eastAsia="en-GB"/>
              </w:rPr>
            </w:pPr>
            <w:r w:rsidRPr="00252953">
              <w:rPr>
                <w:rFonts w:cs="Arial"/>
                <w:b/>
                <w:color w:val="000000"/>
                <w:sz w:val="22"/>
                <w:lang w:eastAsia="en-GB"/>
              </w:rPr>
              <w:t xml:space="preserve">Revised Spending Gap as reported to </w:t>
            </w:r>
            <w:r w:rsidR="00EA22B0">
              <w:rPr>
                <w:rFonts w:cs="Arial"/>
                <w:b/>
                <w:color w:val="000000"/>
                <w:sz w:val="22"/>
                <w:lang w:eastAsia="en-GB"/>
              </w:rPr>
              <w:t xml:space="preserve">21 Jan 2016 </w:t>
            </w:r>
            <w:r w:rsidRPr="00252953">
              <w:rPr>
                <w:rFonts w:cs="Arial"/>
                <w:b/>
                <w:color w:val="000000"/>
                <w:sz w:val="22"/>
                <w:lang w:eastAsia="en-GB"/>
              </w:rPr>
              <w:t>Cabinet</w:t>
            </w:r>
          </w:p>
        </w:tc>
        <w:tc>
          <w:tcPr>
            <w:tcW w:w="1019" w:type="dxa"/>
            <w:shd w:val="clear" w:color="auto" w:fill="auto"/>
            <w:vAlign w:val="center"/>
          </w:tcPr>
          <w:p w:rsidR="00317423" w:rsidRPr="00252953" w:rsidRDefault="00A02A48" w:rsidP="00624D24">
            <w:pPr>
              <w:spacing w:after="0"/>
              <w:jc w:val="center"/>
              <w:rPr>
                <w:rFonts w:cs="Arial"/>
                <w:b/>
                <w:color w:val="000000"/>
                <w:sz w:val="22"/>
                <w:lang w:eastAsia="en-GB"/>
              </w:rPr>
            </w:pPr>
            <w:r w:rsidRPr="00252953">
              <w:rPr>
                <w:rFonts w:cs="Arial"/>
                <w:b/>
                <w:color w:val="000000"/>
                <w:sz w:val="22"/>
                <w:lang w:eastAsia="en-GB"/>
              </w:rPr>
              <w:t>23.257</w:t>
            </w: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28.278</w:t>
            </w:r>
          </w:p>
        </w:tc>
        <w:tc>
          <w:tcPr>
            <w:tcW w:w="1019"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50.579</w:t>
            </w:r>
          </w:p>
        </w:tc>
        <w:tc>
          <w:tcPr>
            <w:tcW w:w="1020" w:type="dxa"/>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50.614</w:t>
            </w:r>
          </w:p>
        </w:tc>
        <w:tc>
          <w:tcPr>
            <w:tcW w:w="1019" w:type="dxa"/>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47.779</w:t>
            </w:r>
          </w:p>
        </w:tc>
        <w:tc>
          <w:tcPr>
            <w:tcW w:w="1020" w:type="dxa"/>
            <w:shd w:val="clear" w:color="auto" w:fill="auto"/>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200.507</w:t>
            </w:r>
          </w:p>
        </w:tc>
      </w:tr>
      <w:tr w:rsidR="00736F79" w:rsidRPr="00252953" w:rsidTr="000326F0">
        <w:trPr>
          <w:trHeight w:val="732"/>
          <w:jc w:val="center"/>
        </w:trPr>
        <w:tc>
          <w:tcPr>
            <w:tcW w:w="3042" w:type="dxa"/>
            <w:shd w:val="clear" w:color="auto" w:fill="auto"/>
            <w:vAlign w:val="center"/>
          </w:tcPr>
          <w:p w:rsidR="00317423" w:rsidRPr="00252953" w:rsidRDefault="00317423" w:rsidP="004321DB">
            <w:pPr>
              <w:spacing w:after="0"/>
              <w:rPr>
                <w:rFonts w:cs="Arial"/>
                <w:color w:val="000000"/>
                <w:sz w:val="22"/>
                <w:lang w:eastAsia="en-GB"/>
              </w:rPr>
            </w:pPr>
            <w:r w:rsidRPr="00252953">
              <w:rPr>
                <w:rFonts w:cs="Arial"/>
                <w:color w:val="000000"/>
                <w:sz w:val="22"/>
                <w:lang w:eastAsia="en-GB"/>
              </w:rPr>
              <w:t>Increase Council Tax income</w:t>
            </w:r>
            <w:r w:rsidR="00A02A48" w:rsidRPr="00252953">
              <w:rPr>
                <w:rFonts w:cs="Arial"/>
                <w:color w:val="000000"/>
                <w:sz w:val="22"/>
                <w:lang w:eastAsia="en-GB"/>
              </w:rPr>
              <w:t xml:space="preserve"> due to tax-base</w:t>
            </w:r>
          </w:p>
        </w:tc>
        <w:tc>
          <w:tcPr>
            <w:tcW w:w="1019" w:type="dxa"/>
            <w:shd w:val="clear" w:color="auto" w:fill="auto"/>
            <w:vAlign w:val="center"/>
          </w:tcPr>
          <w:p w:rsidR="00317423" w:rsidRPr="00252953" w:rsidRDefault="000D0B44" w:rsidP="00283CA2">
            <w:pPr>
              <w:spacing w:after="0"/>
              <w:jc w:val="center"/>
              <w:rPr>
                <w:rFonts w:cs="Arial"/>
                <w:color w:val="000000"/>
                <w:sz w:val="22"/>
                <w:lang w:eastAsia="en-GB"/>
              </w:rPr>
            </w:pPr>
            <w:r w:rsidRPr="00252953">
              <w:rPr>
                <w:rFonts w:cs="Arial"/>
                <w:color w:val="000000"/>
                <w:sz w:val="22"/>
                <w:lang w:eastAsia="en-GB"/>
              </w:rPr>
              <w:t>-</w:t>
            </w:r>
            <w:r w:rsidR="00283CA2" w:rsidRPr="00252953">
              <w:rPr>
                <w:rFonts w:cs="Arial"/>
                <w:color w:val="000000"/>
                <w:sz w:val="22"/>
                <w:lang w:eastAsia="en-GB"/>
              </w:rPr>
              <w:t>5.653</w:t>
            </w:r>
          </w:p>
        </w:tc>
        <w:tc>
          <w:tcPr>
            <w:tcW w:w="1020" w:type="dxa"/>
            <w:shd w:val="clear" w:color="auto" w:fill="auto"/>
            <w:vAlign w:val="center"/>
          </w:tcPr>
          <w:p w:rsidR="00317423" w:rsidRPr="00252953" w:rsidRDefault="00317423" w:rsidP="00624D24">
            <w:pPr>
              <w:spacing w:after="0"/>
              <w:jc w:val="center"/>
              <w:rPr>
                <w:rFonts w:cs="Arial"/>
                <w:color w:val="000000"/>
                <w:sz w:val="22"/>
                <w:lang w:eastAsia="en-GB"/>
              </w:rPr>
            </w:pPr>
          </w:p>
        </w:tc>
        <w:tc>
          <w:tcPr>
            <w:tcW w:w="1019" w:type="dxa"/>
            <w:shd w:val="clear" w:color="auto" w:fill="auto"/>
            <w:vAlign w:val="center"/>
          </w:tcPr>
          <w:p w:rsidR="00317423" w:rsidRPr="00252953" w:rsidRDefault="00317423" w:rsidP="00624D24">
            <w:pPr>
              <w:spacing w:after="0"/>
              <w:jc w:val="center"/>
              <w:rPr>
                <w:rFonts w:cs="Arial"/>
                <w:color w:val="000000"/>
                <w:sz w:val="22"/>
                <w:lang w:eastAsia="en-GB"/>
              </w:rPr>
            </w:pPr>
          </w:p>
        </w:tc>
        <w:tc>
          <w:tcPr>
            <w:tcW w:w="1020" w:type="dxa"/>
            <w:vAlign w:val="center"/>
          </w:tcPr>
          <w:p w:rsidR="00317423" w:rsidRPr="00252953" w:rsidRDefault="00317423" w:rsidP="00624D24">
            <w:pPr>
              <w:spacing w:after="0"/>
              <w:jc w:val="center"/>
              <w:rPr>
                <w:rFonts w:cs="Arial"/>
                <w:color w:val="000000"/>
                <w:sz w:val="22"/>
                <w:lang w:eastAsia="en-GB"/>
              </w:rPr>
            </w:pPr>
          </w:p>
        </w:tc>
        <w:tc>
          <w:tcPr>
            <w:tcW w:w="1019" w:type="dxa"/>
            <w:vAlign w:val="center"/>
          </w:tcPr>
          <w:p w:rsidR="00317423" w:rsidRPr="00252953" w:rsidRDefault="00317423" w:rsidP="00624D24">
            <w:pPr>
              <w:spacing w:after="0"/>
              <w:jc w:val="center"/>
              <w:rPr>
                <w:rFonts w:cs="Arial"/>
                <w:color w:val="000000"/>
                <w:sz w:val="22"/>
                <w:lang w:eastAsia="en-GB"/>
              </w:rPr>
            </w:pPr>
          </w:p>
        </w:tc>
        <w:tc>
          <w:tcPr>
            <w:tcW w:w="1020" w:type="dxa"/>
            <w:shd w:val="clear" w:color="auto" w:fill="auto"/>
            <w:vAlign w:val="center"/>
          </w:tcPr>
          <w:p w:rsidR="00317423" w:rsidRPr="00252953" w:rsidRDefault="000D0B44" w:rsidP="004F48E0">
            <w:pPr>
              <w:spacing w:after="0"/>
              <w:jc w:val="center"/>
              <w:rPr>
                <w:rFonts w:cs="Arial"/>
                <w:b/>
                <w:color w:val="000000"/>
                <w:sz w:val="22"/>
                <w:lang w:eastAsia="en-GB"/>
              </w:rPr>
            </w:pPr>
            <w:r w:rsidRPr="00252953">
              <w:rPr>
                <w:rFonts w:cs="Arial"/>
                <w:b/>
                <w:color w:val="000000"/>
                <w:sz w:val="22"/>
                <w:lang w:eastAsia="en-GB"/>
              </w:rPr>
              <w:t>-</w:t>
            </w:r>
            <w:r w:rsidR="004F48E0" w:rsidRPr="00252953">
              <w:rPr>
                <w:rFonts w:cs="Arial"/>
                <w:b/>
                <w:color w:val="000000"/>
                <w:sz w:val="22"/>
                <w:lang w:eastAsia="en-GB"/>
              </w:rPr>
              <w:t>5.653</w:t>
            </w:r>
          </w:p>
        </w:tc>
      </w:tr>
      <w:tr w:rsidR="00736F79" w:rsidRPr="00252953" w:rsidTr="0002062B">
        <w:trPr>
          <w:trHeight w:val="646"/>
          <w:jc w:val="center"/>
        </w:trPr>
        <w:tc>
          <w:tcPr>
            <w:tcW w:w="3042" w:type="dxa"/>
            <w:shd w:val="clear" w:color="auto" w:fill="auto"/>
            <w:vAlign w:val="center"/>
          </w:tcPr>
          <w:p w:rsidR="00317423" w:rsidRPr="00252953" w:rsidRDefault="00317423" w:rsidP="004321DB">
            <w:pPr>
              <w:spacing w:after="0"/>
              <w:rPr>
                <w:rFonts w:cs="Arial"/>
                <w:color w:val="000000"/>
                <w:sz w:val="22"/>
                <w:lang w:eastAsia="en-GB"/>
              </w:rPr>
            </w:pPr>
            <w:r w:rsidRPr="00252953">
              <w:rPr>
                <w:rFonts w:cs="Arial"/>
                <w:color w:val="000000"/>
                <w:sz w:val="22"/>
                <w:lang w:eastAsia="en-GB"/>
              </w:rPr>
              <w:t>App</w:t>
            </w:r>
            <w:r w:rsidR="002D74F2">
              <w:rPr>
                <w:rFonts w:cs="Arial"/>
                <w:color w:val="000000"/>
                <w:sz w:val="22"/>
                <w:lang w:eastAsia="en-GB"/>
              </w:rPr>
              <w:t>lication of reserves</w:t>
            </w:r>
          </w:p>
        </w:tc>
        <w:tc>
          <w:tcPr>
            <w:tcW w:w="1019" w:type="dxa"/>
            <w:shd w:val="clear" w:color="auto" w:fill="auto"/>
            <w:vAlign w:val="center"/>
          </w:tcPr>
          <w:p w:rsidR="00317423" w:rsidRPr="00252953" w:rsidRDefault="000D0B44" w:rsidP="00283CA2">
            <w:pPr>
              <w:spacing w:after="0"/>
              <w:jc w:val="center"/>
              <w:rPr>
                <w:rFonts w:cs="Arial"/>
                <w:color w:val="000000"/>
                <w:sz w:val="22"/>
                <w:lang w:eastAsia="en-GB"/>
              </w:rPr>
            </w:pPr>
            <w:r w:rsidRPr="00252953">
              <w:rPr>
                <w:rFonts w:cs="Arial"/>
                <w:color w:val="000000"/>
                <w:sz w:val="22"/>
                <w:lang w:eastAsia="en-GB"/>
              </w:rPr>
              <w:t>-</w:t>
            </w:r>
            <w:r w:rsidR="00283CA2" w:rsidRPr="00252953">
              <w:rPr>
                <w:rFonts w:cs="Arial"/>
                <w:color w:val="000000"/>
                <w:sz w:val="22"/>
                <w:lang w:eastAsia="en-GB"/>
              </w:rPr>
              <w:t>17.603</w:t>
            </w:r>
          </w:p>
        </w:tc>
        <w:tc>
          <w:tcPr>
            <w:tcW w:w="1020" w:type="dxa"/>
            <w:shd w:val="clear" w:color="auto" w:fill="auto"/>
            <w:vAlign w:val="center"/>
          </w:tcPr>
          <w:p w:rsidR="00317423" w:rsidRPr="00252953" w:rsidRDefault="00283CA2" w:rsidP="00624D24">
            <w:pPr>
              <w:spacing w:after="0"/>
              <w:jc w:val="center"/>
              <w:rPr>
                <w:rFonts w:cs="Arial"/>
                <w:color w:val="000000"/>
                <w:sz w:val="22"/>
                <w:lang w:eastAsia="en-GB"/>
              </w:rPr>
            </w:pPr>
            <w:r w:rsidRPr="00252953">
              <w:rPr>
                <w:rFonts w:cs="Arial"/>
                <w:color w:val="000000"/>
                <w:sz w:val="22"/>
                <w:lang w:eastAsia="en-GB"/>
              </w:rPr>
              <w:t>17.603</w:t>
            </w:r>
          </w:p>
        </w:tc>
        <w:tc>
          <w:tcPr>
            <w:tcW w:w="1019" w:type="dxa"/>
            <w:shd w:val="clear" w:color="auto" w:fill="auto"/>
            <w:vAlign w:val="center"/>
          </w:tcPr>
          <w:p w:rsidR="00317423" w:rsidRPr="00252953" w:rsidRDefault="00317423" w:rsidP="00624D24">
            <w:pPr>
              <w:spacing w:after="0"/>
              <w:jc w:val="center"/>
              <w:rPr>
                <w:rFonts w:cs="Arial"/>
                <w:color w:val="000000"/>
                <w:sz w:val="22"/>
                <w:lang w:eastAsia="en-GB"/>
              </w:rPr>
            </w:pPr>
          </w:p>
        </w:tc>
        <w:tc>
          <w:tcPr>
            <w:tcW w:w="1020" w:type="dxa"/>
            <w:vAlign w:val="center"/>
          </w:tcPr>
          <w:p w:rsidR="00317423" w:rsidRPr="00252953" w:rsidRDefault="00317423" w:rsidP="00624D24">
            <w:pPr>
              <w:spacing w:after="0"/>
              <w:jc w:val="center"/>
              <w:rPr>
                <w:rFonts w:cs="Arial"/>
                <w:color w:val="000000"/>
                <w:sz w:val="22"/>
                <w:lang w:eastAsia="en-GB"/>
              </w:rPr>
            </w:pPr>
          </w:p>
        </w:tc>
        <w:tc>
          <w:tcPr>
            <w:tcW w:w="1019" w:type="dxa"/>
            <w:vAlign w:val="center"/>
          </w:tcPr>
          <w:p w:rsidR="00317423" w:rsidRPr="00252953" w:rsidRDefault="00317423" w:rsidP="00624D24">
            <w:pPr>
              <w:spacing w:after="0"/>
              <w:jc w:val="center"/>
              <w:rPr>
                <w:rFonts w:cs="Arial"/>
                <w:color w:val="000000"/>
                <w:sz w:val="22"/>
                <w:lang w:eastAsia="en-GB"/>
              </w:rPr>
            </w:pPr>
          </w:p>
        </w:tc>
        <w:tc>
          <w:tcPr>
            <w:tcW w:w="1020" w:type="dxa"/>
            <w:shd w:val="clear" w:color="auto" w:fill="auto"/>
            <w:vAlign w:val="center"/>
          </w:tcPr>
          <w:p w:rsidR="00317423" w:rsidRPr="00252953" w:rsidRDefault="00624D24" w:rsidP="00624D24">
            <w:pPr>
              <w:spacing w:after="0"/>
              <w:jc w:val="center"/>
              <w:rPr>
                <w:rFonts w:cs="Arial"/>
                <w:b/>
                <w:color w:val="000000"/>
                <w:sz w:val="22"/>
                <w:lang w:eastAsia="en-GB"/>
              </w:rPr>
            </w:pPr>
            <w:r w:rsidRPr="00252953">
              <w:rPr>
                <w:rFonts w:cs="Arial"/>
                <w:b/>
                <w:color w:val="000000"/>
                <w:sz w:val="22"/>
                <w:lang w:eastAsia="en-GB"/>
              </w:rPr>
              <w:t>0</w:t>
            </w:r>
          </w:p>
        </w:tc>
      </w:tr>
      <w:tr w:rsidR="00736F79" w:rsidRPr="00252953" w:rsidTr="000326F0">
        <w:trPr>
          <w:trHeight w:val="646"/>
          <w:jc w:val="center"/>
        </w:trPr>
        <w:tc>
          <w:tcPr>
            <w:tcW w:w="3042" w:type="dxa"/>
            <w:shd w:val="clear" w:color="auto" w:fill="BFBFBF" w:themeFill="background1" w:themeFillShade="BF"/>
            <w:vAlign w:val="center"/>
          </w:tcPr>
          <w:p w:rsidR="00317423" w:rsidRPr="00252953" w:rsidRDefault="00317423" w:rsidP="004321DB">
            <w:pPr>
              <w:spacing w:after="0"/>
              <w:rPr>
                <w:rFonts w:cs="Arial"/>
                <w:b/>
                <w:color w:val="000000"/>
                <w:sz w:val="22"/>
                <w:lang w:eastAsia="en-GB"/>
              </w:rPr>
            </w:pPr>
            <w:r w:rsidRPr="00252953">
              <w:rPr>
                <w:rFonts w:cs="Arial"/>
                <w:b/>
                <w:color w:val="000000"/>
                <w:sz w:val="22"/>
                <w:lang w:eastAsia="en-GB"/>
              </w:rPr>
              <w:t>Funding Gap</w:t>
            </w:r>
          </w:p>
        </w:tc>
        <w:tc>
          <w:tcPr>
            <w:tcW w:w="1019" w:type="dxa"/>
            <w:shd w:val="clear" w:color="auto" w:fill="BFBFBF" w:themeFill="background1" w:themeFillShade="BF"/>
            <w:vAlign w:val="center"/>
          </w:tcPr>
          <w:p w:rsidR="00317423" w:rsidRPr="00252953" w:rsidRDefault="000D0B44" w:rsidP="00624D24">
            <w:pPr>
              <w:spacing w:after="0"/>
              <w:jc w:val="center"/>
              <w:rPr>
                <w:rFonts w:cs="Arial"/>
                <w:b/>
                <w:color w:val="000000"/>
                <w:sz w:val="22"/>
                <w:lang w:eastAsia="en-GB"/>
              </w:rPr>
            </w:pPr>
            <w:r w:rsidRPr="00252953">
              <w:rPr>
                <w:rFonts w:cs="Arial"/>
                <w:b/>
                <w:color w:val="000000"/>
                <w:sz w:val="22"/>
                <w:lang w:eastAsia="en-GB"/>
              </w:rPr>
              <w:t>0</w:t>
            </w:r>
          </w:p>
        </w:tc>
        <w:tc>
          <w:tcPr>
            <w:tcW w:w="1020" w:type="dxa"/>
            <w:shd w:val="clear" w:color="auto" w:fill="BFBFBF" w:themeFill="background1" w:themeFillShade="BF"/>
            <w:vAlign w:val="center"/>
          </w:tcPr>
          <w:p w:rsidR="00317423" w:rsidRPr="00252953" w:rsidRDefault="00283CA2" w:rsidP="00624D24">
            <w:pPr>
              <w:spacing w:after="0"/>
              <w:jc w:val="center"/>
              <w:rPr>
                <w:rFonts w:cs="Arial"/>
                <w:b/>
                <w:color w:val="000000"/>
                <w:sz w:val="22"/>
                <w:lang w:eastAsia="en-GB"/>
              </w:rPr>
            </w:pPr>
            <w:r w:rsidRPr="00252953">
              <w:rPr>
                <w:rFonts w:cs="Arial"/>
                <w:b/>
                <w:color w:val="000000"/>
                <w:sz w:val="22"/>
                <w:lang w:eastAsia="en-GB"/>
              </w:rPr>
              <w:t>45.881</w:t>
            </w:r>
          </w:p>
        </w:tc>
        <w:tc>
          <w:tcPr>
            <w:tcW w:w="1019" w:type="dxa"/>
            <w:shd w:val="clear" w:color="auto" w:fill="BFBFBF" w:themeFill="background1" w:themeFillShade="BF"/>
            <w:vAlign w:val="center"/>
          </w:tcPr>
          <w:p w:rsidR="00317423" w:rsidRPr="00252953" w:rsidRDefault="008E05C5" w:rsidP="00624D24">
            <w:pPr>
              <w:spacing w:after="0"/>
              <w:jc w:val="center"/>
              <w:rPr>
                <w:rFonts w:cs="Arial"/>
                <w:b/>
                <w:color w:val="000000"/>
                <w:sz w:val="22"/>
                <w:lang w:eastAsia="en-GB"/>
              </w:rPr>
            </w:pPr>
            <w:r w:rsidRPr="00252953">
              <w:rPr>
                <w:rFonts w:cs="Arial"/>
                <w:b/>
                <w:color w:val="000000"/>
                <w:sz w:val="22"/>
                <w:lang w:eastAsia="en-GB"/>
              </w:rPr>
              <w:t>50.579</w:t>
            </w:r>
          </w:p>
        </w:tc>
        <w:tc>
          <w:tcPr>
            <w:tcW w:w="1020" w:type="dxa"/>
            <w:shd w:val="clear" w:color="auto" w:fill="BFBFBF" w:themeFill="background1" w:themeFillShade="BF"/>
            <w:vAlign w:val="center"/>
          </w:tcPr>
          <w:p w:rsidR="00317423" w:rsidRPr="00252953" w:rsidRDefault="008E05C5" w:rsidP="00624D24">
            <w:pPr>
              <w:spacing w:after="0"/>
              <w:jc w:val="center"/>
              <w:rPr>
                <w:rFonts w:cs="Arial"/>
                <w:b/>
                <w:color w:val="000000"/>
                <w:sz w:val="22"/>
                <w:lang w:eastAsia="en-GB"/>
              </w:rPr>
            </w:pPr>
            <w:r w:rsidRPr="00252953">
              <w:rPr>
                <w:rFonts w:cs="Arial"/>
                <w:b/>
                <w:color w:val="000000"/>
                <w:sz w:val="22"/>
                <w:lang w:eastAsia="en-GB"/>
              </w:rPr>
              <w:t>50.614</w:t>
            </w:r>
          </w:p>
        </w:tc>
        <w:tc>
          <w:tcPr>
            <w:tcW w:w="1019" w:type="dxa"/>
            <w:shd w:val="clear" w:color="auto" w:fill="BFBFBF" w:themeFill="background1" w:themeFillShade="BF"/>
            <w:vAlign w:val="center"/>
          </w:tcPr>
          <w:p w:rsidR="00317423" w:rsidRPr="00252953" w:rsidRDefault="008E05C5" w:rsidP="00624D24">
            <w:pPr>
              <w:spacing w:after="0"/>
              <w:jc w:val="center"/>
              <w:rPr>
                <w:rFonts w:cs="Arial"/>
                <w:b/>
                <w:color w:val="000000"/>
                <w:sz w:val="22"/>
                <w:lang w:eastAsia="en-GB"/>
              </w:rPr>
            </w:pPr>
            <w:r w:rsidRPr="00252953">
              <w:rPr>
                <w:rFonts w:cs="Arial"/>
                <w:b/>
                <w:color w:val="000000"/>
                <w:sz w:val="22"/>
                <w:lang w:eastAsia="en-GB"/>
              </w:rPr>
              <w:t>47.779</w:t>
            </w:r>
          </w:p>
        </w:tc>
        <w:tc>
          <w:tcPr>
            <w:tcW w:w="1020" w:type="dxa"/>
            <w:shd w:val="clear" w:color="auto" w:fill="BFBFBF" w:themeFill="background1" w:themeFillShade="BF"/>
            <w:vAlign w:val="center"/>
          </w:tcPr>
          <w:p w:rsidR="00317423" w:rsidRPr="00252953" w:rsidRDefault="00EB6EC2" w:rsidP="00A04A8E">
            <w:pPr>
              <w:spacing w:after="0"/>
              <w:jc w:val="center"/>
              <w:rPr>
                <w:rFonts w:cs="Arial"/>
                <w:b/>
                <w:color w:val="000000"/>
                <w:sz w:val="22"/>
                <w:lang w:eastAsia="en-GB"/>
              </w:rPr>
            </w:pPr>
            <w:r>
              <w:rPr>
                <w:rFonts w:cs="Arial"/>
                <w:b/>
                <w:color w:val="000000"/>
                <w:sz w:val="22"/>
                <w:lang w:eastAsia="en-GB"/>
              </w:rPr>
              <w:t>194.85</w:t>
            </w:r>
            <w:r w:rsidR="00A04A8E">
              <w:rPr>
                <w:rFonts w:cs="Arial"/>
                <w:b/>
                <w:color w:val="000000"/>
                <w:sz w:val="22"/>
                <w:lang w:eastAsia="en-GB"/>
              </w:rPr>
              <w:t>4</w:t>
            </w:r>
          </w:p>
        </w:tc>
      </w:tr>
    </w:tbl>
    <w:p w:rsidR="00EA0F97" w:rsidRDefault="00EA0F97" w:rsidP="004321DB">
      <w:pPr>
        <w:spacing w:after="0"/>
        <w:jc w:val="both"/>
        <w:rPr>
          <w:rFonts w:cs="Arial"/>
          <w:szCs w:val="24"/>
        </w:rPr>
      </w:pPr>
    </w:p>
    <w:p w:rsidR="009E24A6" w:rsidRDefault="00EA0F97" w:rsidP="004321DB">
      <w:pPr>
        <w:spacing w:after="0"/>
        <w:jc w:val="both"/>
        <w:rPr>
          <w:rFonts w:cs="Arial"/>
          <w:szCs w:val="24"/>
        </w:rPr>
      </w:pPr>
      <w:r>
        <w:rPr>
          <w:rFonts w:cs="Arial"/>
          <w:szCs w:val="24"/>
        </w:rPr>
        <w:lastRenderedPageBreak/>
        <w:t xml:space="preserve">The updated position for reserves used to help meet the funding gap </w:t>
      </w:r>
      <w:r w:rsidR="002376B9">
        <w:rPr>
          <w:rFonts w:cs="Arial"/>
          <w:szCs w:val="24"/>
        </w:rPr>
        <w:t>is as follows:</w:t>
      </w:r>
    </w:p>
    <w:p w:rsidR="00545F55" w:rsidRDefault="00545F55" w:rsidP="004321DB">
      <w:pPr>
        <w:spacing w:after="0"/>
        <w:jc w:val="both"/>
        <w:rPr>
          <w:rFonts w:cs="Arial"/>
          <w:szCs w:val="24"/>
        </w:rPr>
      </w:pPr>
    </w:p>
    <w:p w:rsidR="002376B9" w:rsidRPr="00545F55" w:rsidRDefault="00545F55" w:rsidP="004321DB">
      <w:pPr>
        <w:spacing w:after="0"/>
        <w:jc w:val="both"/>
        <w:rPr>
          <w:rFonts w:cs="Arial"/>
          <w:b/>
          <w:szCs w:val="24"/>
        </w:rPr>
      </w:pPr>
      <w:r w:rsidRPr="00545F55">
        <w:rPr>
          <w:rFonts w:cs="Arial"/>
          <w:b/>
          <w:szCs w:val="24"/>
        </w:rPr>
        <w:t>Table 9</w:t>
      </w:r>
    </w:p>
    <w:tbl>
      <w:tblPr>
        <w:tblStyle w:val="TableGrid"/>
        <w:tblW w:w="9065" w:type="dxa"/>
        <w:tblLook w:val="04A0" w:firstRow="1" w:lastRow="0" w:firstColumn="1" w:lastColumn="0" w:noHBand="0" w:noVBand="1"/>
      </w:tblPr>
      <w:tblGrid>
        <w:gridCol w:w="5167"/>
        <w:gridCol w:w="1949"/>
        <w:gridCol w:w="1949"/>
      </w:tblGrid>
      <w:tr w:rsidR="002376B9" w:rsidRPr="004321DB" w:rsidTr="00624D24">
        <w:trPr>
          <w:trHeight w:val="505"/>
        </w:trPr>
        <w:tc>
          <w:tcPr>
            <w:tcW w:w="5167" w:type="dxa"/>
            <w:shd w:val="clear" w:color="auto" w:fill="BFBFBF" w:themeFill="background1" w:themeFillShade="BF"/>
            <w:vAlign w:val="center"/>
          </w:tcPr>
          <w:p w:rsidR="002376B9" w:rsidRPr="004321DB" w:rsidRDefault="002376B9" w:rsidP="00D23FFB">
            <w:pPr>
              <w:spacing w:line="276" w:lineRule="auto"/>
              <w:jc w:val="center"/>
              <w:rPr>
                <w:rFonts w:cs="Arial"/>
                <w:b/>
                <w:sz w:val="22"/>
              </w:rPr>
            </w:pPr>
          </w:p>
        </w:tc>
        <w:tc>
          <w:tcPr>
            <w:tcW w:w="1949" w:type="dxa"/>
            <w:shd w:val="clear" w:color="auto" w:fill="BFBFBF" w:themeFill="background1" w:themeFillShade="BF"/>
            <w:vAlign w:val="center"/>
          </w:tcPr>
          <w:p w:rsidR="002376B9" w:rsidRPr="004321DB" w:rsidRDefault="002376B9" w:rsidP="00D23FFB">
            <w:pPr>
              <w:spacing w:line="276" w:lineRule="auto"/>
              <w:jc w:val="center"/>
              <w:rPr>
                <w:rFonts w:cs="Arial"/>
                <w:b/>
                <w:sz w:val="22"/>
              </w:rPr>
            </w:pPr>
            <w:r w:rsidRPr="004321DB">
              <w:rPr>
                <w:rFonts w:cs="Arial"/>
                <w:b/>
                <w:sz w:val="22"/>
              </w:rPr>
              <w:t>2016/17</w:t>
            </w:r>
          </w:p>
          <w:p w:rsidR="002376B9" w:rsidRPr="004321DB" w:rsidRDefault="002376B9" w:rsidP="00D23FFB">
            <w:pPr>
              <w:spacing w:line="276" w:lineRule="auto"/>
              <w:jc w:val="center"/>
              <w:rPr>
                <w:rFonts w:cs="Arial"/>
                <w:b/>
                <w:sz w:val="22"/>
              </w:rPr>
            </w:pPr>
            <w:r w:rsidRPr="004321DB">
              <w:rPr>
                <w:rFonts w:cs="Arial"/>
                <w:b/>
                <w:sz w:val="22"/>
              </w:rPr>
              <w:t>£m</w:t>
            </w:r>
          </w:p>
        </w:tc>
        <w:tc>
          <w:tcPr>
            <w:tcW w:w="1949" w:type="dxa"/>
            <w:shd w:val="clear" w:color="auto" w:fill="BFBFBF" w:themeFill="background1" w:themeFillShade="BF"/>
            <w:vAlign w:val="center"/>
          </w:tcPr>
          <w:p w:rsidR="002376B9" w:rsidRPr="004321DB" w:rsidRDefault="002376B9" w:rsidP="00D23FFB">
            <w:pPr>
              <w:spacing w:line="276" w:lineRule="auto"/>
              <w:jc w:val="center"/>
              <w:rPr>
                <w:rFonts w:cs="Arial"/>
                <w:b/>
                <w:sz w:val="22"/>
              </w:rPr>
            </w:pPr>
            <w:r w:rsidRPr="004321DB">
              <w:rPr>
                <w:rFonts w:cs="Arial"/>
                <w:b/>
                <w:sz w:val="22"/>
              </w:rPr>
              <w:t>2017/18</w:t>
            </w:r>
          </w:p>
          <w:p w:rsidR="002376B9" w:rsidRPr="004321DB" w:rsidRDefault="002376B9" w:rsidP="00D23FFB">
            <w:pPr>
              <w:spacing w:line="276" w:lineRule="auto"/>
              <w:jc w:val="center"/>
              <w:rPr>
                <w:rFonts w:cs="Arial"/>
                <w:b/>
                <w:sz w:val="22"/>
              </w:rPr>
            </w:pPr>
            <w:r w:rsidRPr="004321DB">
              <w:rPr>
                <w:rFonts w:cs="Arial"/>
                <w:b/>
                <w:sz w:val="22"/>
              </w:rPr>
              <w:t>£m</w:t>
            </w:r>
          </w:p>
        </w:tc>
      </w:tr>
      <w:tr w:rsidR="00EA0F97" w:rsidRPr="004321DB" w:rsidTr="00624D24">
        <w:trPr>
          <w:trHeight w:val="610"/>
        </w:trPr>
        <w:tc>
          <w:tcPr>
            <w:tcW w:w="5167" w:type="dxa"/>
            <w:vAlign w:val="center"/>
          </w:tcPr>
          <w:p w:rsidR="00EA0F97" w:rsidRPr="004321DB" w:rsidRDefault="00EA0F97" w:rsidP="00EA0F97">
            <w:pPr>
              <w:spacing w:line="276" w:lineRule="auto"/>
              <w:jc w:val="both"/>
              <w:rPr>
                <w:rFonts w:cs="Arial"/>
                <w:sz w:val="22"/>
              </w:rPr>
            </w:pPr>
            <w:r>
              <w:rPr>
                <w:rFonts w:cs="Arial"/>
                <w:sz w:val="22"/>
              </w:rPr>
              <w:t xml:space="preserve">Transitional </w:t>
            </w:r>
            <w:r w:rsidRPr="004321DB">
              <w:rPr>
                <w:rFonts w:cs="Arial"/>
                <w:sz w:val="22"/>
              </w:rPr>
              <w:t>Reserve available</w:t>
            </w:r>
          </w:p>
        </w:tc>
        <w:tc>
          <w:tcPr>
            <w:tcW w:w="1949" w:type="dxa"/>
            <w:vAlign w:val="center"/>
          </w:tcPr>
          <w:p w:rsidR="00EA0F97" w:rsidRPr="004321DB" w:rsidRDefault="00EA0F97" w:rsidP="00EA0F97">
            <w:pPr>
              <w:spacing w:line="276" w:lineRule="auto"/>
              <w:jc w:val="center"/>
              <w:rPr>
                <w:rFonts w:cs="Arial"/>
                <w:sz w:val="22"/>
              </w:rPr>
            </w:pPr>
            <w:r>
              <w:rPr>
                <w:rFonts w:cs="Arial"/>
                <w:sz w:val="22"/>
              </w:rPr>
              <w:t>121.9</w:t>
            </w:r>
          </w:p>
        </w:tc>
        <w:tc>
          <w:tcPr>
            <w:tcW w:w="1949" w:type="dxa"/>
            <w:vAlign w:val="center"/>
          </w:tcPr>
          <w:p w:rsidR="00EA0F97" w:rsidRPr="004321DB" w:rsidRDefault="00EA0F97" w:rsidP="00EA0F97">
            <w:pPr>
              <w:spacing w:line="276" w:lineRule="auto"/>
              <w:jc w:val="center"/>
              <w:rPr>
                <w:rFonts w:cs="Arial"/>
                <w:sz w:val="22"/>
              </w:rPr>
            </w:pPr>
            <w:r>
              <w:rPr>
                <w:rFonts w:cs="Arial"/>
                <w:sz w:val="22"/>
              </w:rPr>
              <w:t>57.8</w:t>
            </w:r>
          </w:p>
        </w:tc>
      </w:tr>
      <w:tr w:rsidR="00EA0F97" w:rsidRPr="004321DB" w:rsidTr="00624D24">
        <w:trPr>
          <w:trHeight w:val="610"/>
        </w:trPr>
        <w:tc>
          <w:tcPr>
            <w:tcW w:w="5167" w:type="dxa"/>
            <w:vAlign w:val="center"/>
          </w:tcPr>
          <w:p w:rsidR="00EA0F97" w:rsidRPr="004321DB" w:rsidRDefault="00EA0F97" w:rsidP="00EA0F97">
            <w:pPr>
              <w:spacing w:line="276" w:lineRule="auto"/>
              <w:jc w:val="both"/>
              <w:rPr>
                <w:rFonts w:cs="Arial"/>
                <w:sz w:val="22"/>
              </w:rPr>
            </w:pPr>
            <w:r w:rsidRPr="004321DB">
              <w:rPr>
                <w:rFonts w:cs="Arial"/>
                <w:sz w:val="22"/>
              </w:rPr>
              <w:t>R</w:t>
            </w:r>
            <w:r>
              <w:rPr>
                <w:rFonts w:cs="Arial"/>
                <w:sz w:val="22"/>
              </w:rPr>
              <w:t>eserves r</w:t>
            </w:r>
            <w:r w:rsidRPr="004321DB">
              <w:rPr>
                <w:rFonts w:cs="Arial"/>
                <w:sz w:val="22"/>
              </w:rPr>
              <w:t>equire</w:t>
            </w:r>
            <w:r>
              <w:rPr>
                <w:rFonts w:cs="Arial"/>
                <w:sz w:val="22"/>
              </w:rPr>
              <w:t>d to</w:t>
            </w:r>
            <w:r w:rsidRPr="004321DB">
              <w:rPr>
                <w:rFonts w:cs="Arial"/>
                <w:sz w:val="22"/>
              </w:rPr>
              <w:t xml:space="preserve"> support </w:t>
            </w:r>
            <w:r>
              <w:rPr>
                <w:rFonts w:cs="Arial"/>
                <w:sz w:val="22"/>
              </w:rPr>
              <w:t>budget proposals</w:t>
            </w:r>
          </w:p>
        </w:tc>
        <w:tc>
          <w:tcPr>
            <w:tcW w:w="1949" w:type="dxa"/>
            <w:vAlign w:val="center"/>
          </w:tcPr>
          <w:p w:rsidR="00EA0F97" w:rsidRPr="004321DB" w:rsidRDefault="00EA0F97" w:rsidP="00EA0F97">
            <w:pPr>
              <w:spacing w:line="276" w:lineRule="auto"/>
              <w:jc w:val="center"/>
              <w:rPr>
                <w:rFonts w:cs="Arial"/>
                <w:sz w:val="22"/>
              </w:rPr>
            </w:pPr>
            <w:r>
              <w:rPr>
                <w:rFonts w:cs="Arial"/>
                <w:sz w:val="22"/>
              </w:rPr>
              <w:t>46.5</w:t>
            </w:r>
          </w:p>
        </w:tc>
        <w:tc>
          <w:tcPr>
            <w:tcW w:w="1949" w:type="dxa"/>
            <w:vAlign w:val="center"/>
          </w:tcPr>
          <w:p w:rsidR="00EA0F97" w:rsidRPr="004321DB" w:rsidRDefault="00EA0F97" w:rsidP="00EA0F97">
            <w:pPr>
              <w:spacing w:line="276" w:lineRule="auto"/>
              <w:jc w:val="center"/>
              <w:rPr>
                <w:rFonts w:cs="Arial"/>
                <w:sz w:val="22"/>
              </w:rPr>
            </w:pPr>
            <w:r>
              <w:rPr>
                <w:rFonts w:cs="Arial"/>
                <w:sz w:val="22"/>
              </w:rPr>
              <w:t>24.2</w:t>
            </w:r>
          </w:p>
        </w:tc>
      </w:tr>
      <w:tr w:rsidR="00EA0F97" w:rsidRPr="004321DB" w:rsidTr="00624D24">
        <w:trPr>
          <w:trHeight w:val="610"/>
        </w:trPr>
        <w:tc>
          <w:tcPr>
            <w:tcW w:w="5167" w:type="dxa"/>
            <w:vAlign w:val="center"/>
          </w:tcPr>
          <w:p w:rsidR="00EA0F97" w:rsidRPr="004321DB" w:rsidRDefault="00EA0F97" w:rsidP="00EA0F97">
            <w:pPr>
              <w:spacing w:line="276" w:lineRule="auto"/>
              <w:jc w:val="both"/>
              <w:rPr>
                <w:rFonts w:cs="Arial"/>
                <w:sz w:val="22"/>
              </w:rPr>
            </w:pPr>
            <w:r>
              <w:rPr>
                <w:rFonts w:cs="Arial"/>
                <w:sz w:val="22"/>
              </w:rPr>
              <w:t xml:space="preserve">Reserves required to meet funding </w:t>
            </w:r>
            <w:r w:rsidRPr="004321DB">
              <w:rPr>
                <w:rFonts w:cs="Arial"/>
                <w:sz w:val="22"/>
              </w:rPr>
              <w:t>gap</w:t>
            </w:r>
          </w:p>
        </w:tc>
        <w:tc>
          <w:tcPr>
            <w:tcW w:w="1949" w:type="dxa"/>
            <w:vAlign w:val="center"/>
          </w:tcPr>
          <w:p w:rsidR="00EA0F97" w:rsidRPr="004321DB" w:rsidRDefault="00EA0F97" w:rsidP="00EA0F97">
            <w:pPr>
              <w:spacing w:line="276" w:lineRule="auto"/>
              <w:jc w:val="center"/>
              <w:rPr>
                <w:rFonts w:cs="Arial"/>
                <w:sz w:val="22"/>
              </w:rPr>
            </w:pPr>
            <w:r>
              <w:rPr>
                <w:rFonts w:cs="Arial"/>
                <w:sz w:val="22"/>
              </w:rPr>
              <w:t>17.6</w:t>
            </w:r>
          </w:p>
        </w:tc>
        <w:tc>
          <w:tcPr>
            <w:tcW w:w="1949" w:type="dxa"/>
            <w:vAlign w:val="center"/>
          </w:tcPr>
          <w:p w:rsidR="00EA0F97" w:rsidRPr="004321DB" w:rsidRDefault="00EA0F97" w:rsidP="00EA0F97">
            <w:pPr>
              <w:spacing w:line="276" w:lineRule="auto"/>
              <w:jc w:val="center"/>
              <w:rPr>
                <w:rFonts w:cs="Arial"/>
                <w:sz w:val="22"/>
              </w:rPr>
            </w:pPr>
            <w:r>
              <w:rPr>
                <w:rFonts w:cs="Arial"/>
                <w:sz w:val="22"/>
              </w:rPr>
              <w:t>45.9</w:t>
            </w:r>
          </w:p>
        </w:tc>
      </w:tr>
      <w:tr w:rsidR="00EA0F97" w:rsidRPr="0051679A" w:rsidTr="00624D24">
        <w:trPr>
          <w:trHeight w:val="610"/>
        </w:trPr>
        <w:tc>
          <w:tcPr>
            <w:tcW w:w="5167" w:type="dxa"/>
            <w:vAlign w:val="center"/>
          </w:tcPr>
          <w:p w:rsidR="00EA0F97" w:rsidRPr="0051679A" w:rsidRDefault="00EA0F97" w:rsidP="00EA0F97">
            <w:pPr>
              <w:spacing w:line="276" w:lineRule="auto"/>
              <w:jc w:val="both"/>
              <w:rPr>
                <w:rFonts w:cs="Arial"/>
                <w:b/>
                <w:sz w:val="22"/>
              </w:rPr>
            </w:pPr>
            <w:r w:rsidRPr="0051679A">
              <w:rPr>
                <w:rFonts w:cs="Arial"/>
                <w:b/>
                <w:sz w:val="22"/>
              </w:rPr>
              <w:t xml:space="preserve">Balance </w:t>
            </w:r>
            <w:r>
              <w:rPr>
                <w:rFonts w:cs="Arial"/>
                <w:b/>
                <w:sz w:val="22"/>
              </w:rPr>
              <w:t>of Transitional Reserve</w:t>
            </w:r>
          </w:p>
        </w:tc>
        <w:tc>
          <w:tcPr>
            <w:tcW w:w="1949" w:type="dxa"/>
            <w:vAlign w:val="center"/>
          </w:tcPr>
          <w:p w:rsidR="00EA0F97" w:rsidRPr="0051679A" w:rsidRDefault="00EA0F97" w:rsidP="00EA0F97">
            <w:pPr>
              <w:spacing w:line="276" w:lineRule="auto"/>
              <w:jc w:val="center"/>
              <w:rPr>
                <w:rFonts w:cs="Arial"/>
                <w:b/>
                <w:sz w:val="22"/>
              </w:rPr>
            </w:pPr>
            <w:r>
              <w:rPr>
                <w:rFonts w:cs="Arial"/>
                <w:b/>
                <w:sz w:val="22"/>
              </w:rPr>
              <w:t>57.8</w:t>
            </w:r>
          </w:p>
        </w:tc>
        <w:tc>
          <w:tcPr>
            <w:tcW w:w="1949" w:type="dxa"/>
            <w:vAlign w:val="center"/>
          </w:tcPr>
          <w:p w:rsidR="00EA0F97" w:rsidRPr="0051679A" w:rsidRDefault="00EA0F97" w:rsidP="00EA0F97">
            <w:pPr>
              <w:spacing w:line="276" w:lineRule="auto"/>
              <w:jc w:val="center"/>
              <w:rPr>
                <w:rFonts w:cs="Arial"/>
                <w:b/>
                <w:sz w:val="22"/>
              </w:rPr>
            </w:pPr>
            <w:r>
              <w:rPr>
                <w:rFonts w:cs="Arial"/>
                <w:b/>
                <w:sz w:val="22"/>
              </w:rPr>
              <w:t>-12.3</w:t>
            </w:r>
          </w:p>
        </w:tc>
      </w:tr>
    </w:tbl>
    <w:p w:rsidR="009E24A6" w:rsidRDefault="009E24A6" w:rsidP="004321DB">
      <w:pPr>
        <w:spacing w:after="0"/>
        <w:jc w:val="both"/>
        <w:rPr>
          <w:rFonts w:cs="Arial"/>
          <w:szCs w:val="24"/>
        </w:rPr>
      </w:pPr>
    </w:p>
    <w:p w:rsidR="00EA0F97" w:rsidRDefault="00EA0F97" w:rsidP="004321DB">
      <w:pPr>
        <w:spacing w:after="0"/>
        <w:jc w:val="both"/>
        <w:rPr>
          <w:rFonts w:cs="Arial"/>
          <w:szCs w:val="24"/>
        </w:rPr>
      </w:pPr>
      <w:r w:rsidRPr="008F5A06">
        <w:rPr>
          <w:rFonts w:cs="Arial"/>
          <w:szCs w:val="24"/>
        </w:rPr>
        <w:t xml:space="preserve">This </w:t>
      </w:r>
      <w:r>
        <w:rPr>
          <w:rFonts w:cs="Arial"/>
          <w:szCs w:val="24"/>
        </w:rPr>
        <w:t xml:space="preserve">table shows </w:t>
      </w:r>
      <w:r w:rsidRPr="008F5A06">
        <w:rPr>
          <w:rFonts w:cs="Arial"/>
          <w:szCs w:val="24"/>
        </w:rPr>
        <w:t xml:space="preserve">that </w:t>
      </w:r>
      <w:r w:rsidR="007F0882">
        <w:rPr>
          <w:rFonts w:cs="Arial"/>
          <w:szCs w:val="24"/>
        </w:rPr>
        <w:t>there is currently a</w:t>
      </w:r>
      <w:r>
        <w:rPr>
          <w:rFonts w:cs="Arial"/>
          <w:szCs w:val="24"/>
        </w:rPr>
        <w:t xml:space="preserve"> £12.3</w:t>
      </w:r>
      <w:r w:rsidRPr="008F5A06">
        <w:rPr>
          <w:rFonts w:cs="Arial"/>
          <w:szCs w:val="24"/>
        </w:rPr>
        <w:t xml:space="preserve">m </w:t>
      </w:r>
      <w:r w:rsidR="007F0882">
        <w:rPr>
          <w:rFonts w:cs="Arial"/>
          <w:szCs w:val="24"/>
        </w:rPr>
        <w:t>reserve shortfall.</w:t>
      </w:r>
    </w:p>
    <w:p w:rsidR="007F0882" w:rsidRPr="005A65D5" w:rsidRDefault="007F0882" w:rsidP="004321DB">
      <w:pPr>
        <w:spacing w:after="0"/>
        <w:jc w:val="both"/>
        <w:rPr>
          <w:rFonts w:cs="Arial"/>
          <w:szCs w:val="24"/>
        </w:rPr>
      </w:pPr>
    </w:p>
    <w:p w:rsidR="00632869" w:rsidRDefault="0002062B" w:rsidP="004321DB">
      <w:pPr>
        <w:spacing w:after="0"/>
        <w:jc w:val="both"/>
        <w:rPr>
          <w:rFonts w:cs="Arial"/>
          <w:i/>
          <w:szCs w:val="24"/>
        </w:rPr>
      </w:pPr>
      <w:r>
        <w:rPr>
          <w:rFonts w:cs="Arial"/>
          <w:i/>
          <w:szCs w:val="24"/>
        </w:rPr>
        <w:t xml:space="preserve">6.2 </w:t>
      </w:r>
      <w:r w:rsidR="000D5891" w:rsidRPr="0002062B">
        <w:rPr>
          <w:rFonts w:cs="Arial"/>
          <w:i/>
          <w:szCs w:val="24"/>
        </w:rPr>
        <w:t>Revenue Budgets</w:t>
      </w:r>
      <w:r w:rsidR="00632869" w:rsidRPr="0002062B">
        <w:rPr>
          <w:rFonts w:cs="Arial"/>
          <w:i/>
          <w:szCs w:val="24"/>
        </w:rPr>
        <w:t xml:space="preserve"> fo</w:t>
      </w:r>
      <w:r w:rsidR="008E4942" w:rsidRPr="0002062B">
        <w:rPr>
          <w:rFonts w:cs="Arial"/>
          <w:i/>
          <w:szCs w:val="24"/>
        </w:rPr>
        <w:t>r Services in 201</w:t>
      </w:r>
      <w:r w:rsidR="00FF0FC2" w:rsidRPr="0002062B">
        <w:rPr>
          <w:rFonts w:cs="Arial"/>
          <w:i/>
          <w:szCs w:val="24"/>
        </w:rPr>
        <w:t>6</w:t>
      </w:r>
      <w:r w:rsidR="008E4942" w:rsidRPr="0002062B">
        <w:rPr>
          <w:rFonts w:cs="Arial"/>
          <w:i/>
          <w:szCs w:val="24"/>
        </w:rPr>
        <w:t>/1</w:t>
      </w:r>
      <w:r w:rsidR="00FF0FC2" w:rsidRPr="0002062B">
        <w:rPr>
          <w:rFonts w:cs="Arial"/>
          <w:i/>
          <w:szCs w:val="24"/>
        </w:rPr>
        <w:t>7</w:t>
      </w:r>
    </w:p>
    <w:p w:rsidR="0002062B" w:rsidRPr="0002062B" w:rsidRDefault="0002062B" w:rsidP="004321DB">
      <w:pPr>
        <w:spacing w:after="0"/>
        <w:jc w:val="both"/>
        <w:rPr>
          <w:rFonts w:cs="Arial"/>
          <w:i/>
          <w:szCs w:val="24"/>
        </w:rPr>
      </w:pPr>
    </w:p>
    <w:p w:rsidR="00624D24" w:rsidRDefault="00235811" w:rsidP="004321DB">
      <w:pPr>
        <w:spacing w:after="0"/>
        <w:jc w:val="both"/>
        <w:rPr>
          <w:rFonts w:cs="Arial"/>
          <w:szCs w:val="24"/>
        </w:rPr>
      </w:pPr>
      <w:r w:rsidRPr="00E917F6">
        <w:rPr>
          <w:rFonts w:cs="Arial"/>
          <w:szCs w:val="24"/>
        </w:rPr>
        <w:t>The budget outlined above results in</w:t>
      </w:r>
      <w:r w:rsidR="00E917F6" w:rsidRPr="00E917F6">
        <w:rPr>
          <w:rFonts w:cs="Arial"/>
          <w:szCs w:val="24"/>
        </w:rPr>
        <w:t xml:space="preserve"> net</w:t>
      </w:r>
      <w:r w:rsidRPr="00E917F6">
        <w:rPr>
          <w:rFonts w:cs="Arial"/>
          <w:szCs w:val="24"/>
        </w:rPr>
        <w:t xml:space="preserve"> e</w:t>
      </w:r>
      <w:r w:rsidR="001D0484" w:rsidRPr="00E917F6">
        <w:rPr>
          <w:rFonts w:cs="Arial"/>
          <w:szCs w:val="24"/>
        </w:rPr>
        <w:t>xpenditure on services of £</w:t>
      </w:r>
      <w:r w:rsidR="00E917F6" w:rsidRPr="00E917F6">
        <w:rPr>
          <w:rFonts w:cs="Arial"/>
          <w:szCs w:val="24"/>
        </w:rPr>
        <w:t>69</w:t>
      </w:r>
      <w:r w:rsidR="005D7791">
        <w:rPr>
          <w:rFonts w:cs="Arial"/>
          <w:szCs w:val="24"/>
        </w:rPr>
        <w:t>6</w:t>
      </w:r>
      <w:r w:rsidRPr="00E917F6">
        <w:rPr>
          <w:rFonts w:cs="Arial"/>
          <w:szCs w:val="24"/>
        </w:rPr>
        <w:t xml:space="preserve">m. </w:t>
      </w:r>
      <w:r w:rsidR="00E917F6">
        <w:rPr>
          <w:rFonts w:cs="Arial"/>
          <w:szCs w:val="24"/>
        </w:rPr>
        <w:t>T</w:t>
      </w:r>
      <w:r w:rsidR="006D7BB3" w:rsidRPr="0002062B">
        <w:rPr>
          <w:rFonts w:cs="Arial"/>
          <w:szCs w:val="24"/>
        </w:rPr>
        <w:t>he budget by service is</w:t>
      </w:r>
      <w:r w:rsidR="00B405A9" w:rsidRPr="0002062B">
        <w:rPr>
          <w:rFonts w:cs="Arial"/>
          <w:szCs w:val="24"/>
        </w:rPr>
        <w:t xml:space="preserve"> summarise</w:t>
      </w:r>
      <w:r w:rsidR="0002062B">
        <w:rPr>
          <w:rFonts w:cs="Arial"/>
          <w:szCs w:val="24"/>
        </w:rPr>
        <w:t>d below:</w:t>
      </w:r>
    </w:p>
    <w:p w:rsidR="000167FA" w:rsidRDefault="0002062B" w:rsidP="004321DB">
      <w:pPr>
        <w:spacing w:after="0"/>
        <w:jc w:val="both"/>
        <w:rPr>
          <w:rFonts w:cs="Arial"/>
          <w:szCs w:val="24"/>
        </w:rPr>
      </w:pPr>
      <w:r w:rsidRPr="005A65D5">
        <w:rPr>
          <w:rFonts w:cs="Arial"/>
          <w:szCs w:val="24"/>
        </w:rPr>
        <w:t xml:space="preserve"> </w:t>
      </w:r>
    </w:p>
    <w:p w:rsidR="00816367" w:rsidRPr="00545F55" w:rsidRDefault="00545F55" w:rsidP="001D0484">
      <w:pPr>
        <w:spacing w:after="0"/>
        <w:jc w:val="both"/>
        <w:rPr>
          <w:rFonts w:cs="Arial"/>
          <w:b/>
          <w:szCs w:val="24"/>
        </w:rPr>
      </w:pPr>
      <w:r w:rsidRPr="00545F55">
        <w:rPr>
          <w:rFonts w:cs="Arial"/>
          <w:b/>
          <w:szCs w:val="24"/>
        </w:rPr>
        <w:t>Table 10</w:t>
      </w:r>
      <w:r w:rsidR="006050DB">
        <w:rPr>
          <w:rFonts w:cs="Arial"/>
          <w:b/>
          <w:szCs w:val="24"/>
        </w:rPr>
        <w:t xml:space="preserve">  </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5"/>
        <w:gridCol w:w="1775"/>
      </w:tblGrid>
      <w:tr w:rsidR="00C76E73" w:rsidRPr="00252953" w:rsidTr="00EE0166">
        <w:trPr>
          <w:trHeight w:val="903"/>
        </w:trPr>
        <w:tc>
          <w:tcPr>
            <w:tcW w:w="5875" w:type="dxa"/>
            <w:shd w:val="clear" w:color="auto" w:fill="BFBFBF" w:themeFill="background1" w:themeFillShade="BF"/>
            <w:vAlign w:val="center"/>
            <w:hideMark/>
          </w:tcPr>
          <w:p w:rsidR="00C76E73" w:rsidRPr="00252953" w:rsidRDefault="007F16A8" w:rsidP="007F16A8">
            <w:pPr>
              <w:spacing w:after="0"/>
              <w:jc w:val="center"/>
              <w:rPr>
                <w:rFonts w:cs="Arial"/>
                <w:b/>
                <w:bCs/>
                <w:color w:val="000000"/>
                <w:sz w:val="22"/>
                <w:lang w:eastAsia="en-GB"/>
              </w:rPr>
            </w:pPr>
            <w:r>
              <w:rPr>
                <w:rFonts w:cs="Arial"/>
                <w:b/>
                <w:bCs/>
                <w:color w:val="000000"/>
                <w:sz w:val="22"/>
                <w:lang w:eastAsia="en-GB"/>
              </w:rPr>
              <w:t>Revenue budget 2016/17</w:t>
            </w:r>
          </w:p>
        </w:tc>
        <w:tc>
          <w:tcPr>
            <w:tcW w:w="1775" w:type="dxa"/>
            <w:shd w:val="clear" w:color="auto" w:fill="BFBFBF" w:themeFill="background1" w:themeFillShade="BF"/>
            <w:noWrap/>
            <w:vAlign w:val="center"/>
            <w:hideMark/>
          </w:tcPr>
          <w:p w:rsidR="00C76E73" w:rsidRPr="00252953" w:rsidRDefault="00C76E73" w:rsidP="001D0484">
            <w:pPr>
              <w:spacing w:after="0"/>
              <w:jc w:val="center"/>
              <w:rPr>
                <w:rFonts w:cs="Arial"/>
                <w:b/>
                <w:bCs/>
                <w:color w:val="000000"/>
                <w:sz w:val="22"/>
                <w:lang w:eastAsia="en-GB"/>
              </w:rPr>
            </w:pPr>
            <w:r w:rsidRPr="00252953">
              <w:rPr>
                <w:rFonts w:cs="Arial"/>
                <w:b/>
                <w:bCs/>
                <w:color w:val="000000"/>
                <w:sz w:val="22"/>
                <w:lang w:eastAsia="en-GB"/>
              </w:rPr>
              <w:t>Net</w:t>
            </w:r>
          </w:p>
          <w:p w:rsidR="00C76E73" w:rsidRPr="00252953" w:rsidRDefault="00C76E73" w:rsidP="001D0484">
            <w:pPr>
              <w:spacing w:after="0"/>
              <w:jc w:val="center"/>
              <w:rPr>
                <w:rFonts w:cs="Arial"/>
                <w:b/>
                <w:bCs/>
                <w:color w:val="000000"/>
                <w:sz w:val="22"/>
                <w:lang w:eastAsia="en-GB"/>
              </w:rPr>
            </w:pPr>
            <w:r w:rsidRPr="00252953">
              <w:rPr>
                <w:rFonts w:cs="Arial"/>
                <w:b/>
                <w:bCs/>
                <w:color w:val="000000"/>
                <w:sz w:val="22"/>
                <w:lang w:eastAsia="en-GB"/>
              </w:rPr>
              <w:t>Budget</w:t>
            </w:r>
          </w:p>
          <w:p w:rsidR="00C76E73" w:rsidRPr="00252953" w:rsidRDefault="00C76E73" w:rsidP="001D0484">
            <w:pPr>
              <w:spacing w:after="0"/>
              <w:jc w:val="center"/>
              <w:rPr>
                <w:rFonts w:cs="Arial"/>
                <w:b/>
                <w:bCs/>
                <w:color w:val="000000"/>
                <w:sz w:val="22"/>
                <w:lang w:eastAsia="en-GB"/>
              </w:rPr>
            </w:pPr>
            <w:r w:rsidRPr="00252953">
              <w:rPr>
                <w:rFonts w:cs="Arial"/>
                <w:b/>
                <w:bCs/>
                <w:color w:val="000000"/>
                <w:sz w:val="22"/>
                <w:lang w:eastAsia="en-GB"/>
              </w:rPr>
              <w:t>£m</w:t>
            </w:r>
          </w:p>
        </w:tc>
      </w:tr>
      <w:tr w:rsidR="00C76E73" w:rsidRPr="00252953" w:rsidTr="00EE0166">
        <w:trPr>
          <w:trHeight w:val="502"/>
        </w:trPr>
        <w:tc>
          <w:tcPr>
            <w:tcW w:w="5875" w:type="dxa"/>
            <w:shd w:val="clear" w:color="auto" w:fill="BFBFBF" w:themeFill="background1" w:themeFillShade="BF"/>
            <w:vAlign w:val="center"/>
            <w:hideMark/>
          </w:tcPr>
          <w:p w:rsidR="00C76E73" w:rsidRPr="00252953" w:rsidRDefault="00C76E73" w:rsidP="001D0484">
            <w:pPr>
              <w:spacing w:after="0"/>
              <w:jc w:val="both"/>
              <w:rPr>
                <w:rFonts w:cs="Arial"/>
                <w:b/>
                <w:bCs/>
                <w:color w:val="000000"/>
                <w:sz w:val="22"/>
                <w:lang w:eastAsia="en-GB"/>
              </w:rPr>
            </w:pPr>
            <w:r w:rsidRPr="00252953">
              <w:rPr>
                <w:rFonts w:cs="Arial"/>
                <w:b/>
                <w:bCs/>
                <w:color w:val="000000"/>
                <w:sz w:val="22"/>
                <w:lang w:eastAsia="en-GB"/>
              </w:rPr>
              <w:t xml:space="preserve">Service </w:t>
            </w:r>
          </w:p>
        </w:tc>
        <w:tc>
          <w:tcPr>
            <w:tcW w:w="1775" w:type="dxa"/>
            <w:shd w:val="clear" w:color="auto" w:fill="BFBFBF" w:themeFill="background1" w:themeFillShade="BF"/>
            <w:noWrap/>
            <w:vAlign w:val="center"/>
          </w:tcPr>
          <w:p w:rsidR="00C76E73" w:rsidRPr="00252953" w:rsidRDefault="00C76E73" w:rsidP="00EA0F97">
            <w:pPr>
              <w:spacing w:after="0"/>
              <w:jc w:val="center"/>
              <w:rPr>
                <w:rFonts w:cs="Arial"/>
                <w:color w:val="000000"/>
                <w:sz w:val="22"/>
                <w:lang w:eastAsia="en-GB"/>
              </w:rPr>
            </w:pPr>
          </w:p>
        </w:tc>
      </w:tr>
      <w:tr w:rsidR="00C76E73" w:rsidRPr="00252953" w:rsidTr="007F0882">
        <w:trPr>
          <w:trHeight w:val="397"/>
        </w:trPr>
        <w:tc>
          <w:tcPr>
            <w:tcW w:w="5875" w:type="dxa"/>
            <w:shd w:val="clear" w:color="auto" w:fill="auto"/>
            <w:vAlign w:val="center"/>
          </w:tcPr>
          <w:p w:rsidR="00C76E73" w:rsidRPr="00252953" w:rsidRDefault="00C76E73" w:rsidP="00C65BAF">
            <w:pPr>
              <w:spacing w:after="0"/>
              <w:jc w:val="both"/>
              <w:rPr>
                <w:rFonts w:cs="Arial"/>
                <w:color w:val="000000"/>
                <w:sz w:val="22"/>
                <w:lang w:eastAsia="en-GB"/>
              </w:rPr>
            </w:pPr>
            <w:r w:rsidRPr="00252953">
              <w:rPr>
                <w:rFonts w:cs="Arial"/>
                <w:color w:val="000000"/>
                <w:sz w:val="22"/>
                <w:lang w:eastAsia="en-GB"/>
              </w:rPr>
              <w:t>Adult S</w:t>
            </w:r>
            <w:r w:rsidR="00C65BAF">
              <w:rPr>
                <w:rFonts w:cs="Arial"/>
                <w:color w:val="000000"/>
                <w:sz w:val="22"/>
                <w:lang w:eastAsia="en-GB"/>
              </w:rPr>
              <w:t>ocial Care</w:t>
            </w:r>
          </w:p>
        </w:tc>
        <w:tc>
          <w:tcPr>
            <w:tcW w:w="1775" w:type="dxa"/>
            <w:shd w:val="clear" w:color="auto" w:fill="auto"/>
            <w:noWrap/>
            <w:vAlign w:val="center"/>
          </w:tcPr>
          <w:p w:rsidR="00C76E73" w:rsidRPr="00252953" w:rsidRDefault="00C76E73" w:rsidP="00845017">
            <w:pPr>
              <w:spacing w:after="0"/>
              <w:jc w:val="right"/>
              <w:rPr>
                <w:rFonts w:cs="Arial"/>
                <w:color w:val="000000"/>
                <w:sz w:val="22"/>
                <w:lang w:eastAsia="en-GB"/>
              </w:rPr>
            </w:pPr>
            <w:r>
              <w:rPr>
                <w:rFonts w:cs="Arial"/>
                <w:color w:val="000000"/>
                <w:sz w:val="22"/>
                <w:lang w:eastAsia="en-GB"/>
              </w:rPr>
              <w:t>332.6</w:t>
            </w:r>
            <w:r w:rsidR="00845017">
              <w:rPr>
                <w:rFonts w:cs="Arial"/>
                <w:color w:val="000000"/>
                <w:sz w:val="22"/>
                <w:lang w:eastAsia="en-GB"/>
              </w:rPr>
              <w:t>6</w:t>
            </w:r>
            <w:r>
              <w:rPr>
                <w:rFonts w:cs="Arial"/>
                <w:color w:val="000000"/>
                <w:sz w:val="22"/>
                <w:lang w:eastAsia="en-GB"/>
              </w:rPr>
              <w:t>3</w:t>
            </w:r>
          </w:p>
        </w:tc>
      </w:tr>
      <w:tr w:rsidR="00C76E73" w:rsidRPr="00252953" w:rsidTr="007F0882">
        <w:trPr>
          <w:trHeight w:val="397"/>
        </w:trPr>
        <w:tc>
          <w:tcPr>
            <w:tcW w:w="5875" w:type="dxa"/>
            <w:shd w:val="clear" w:color="auto" w:fill="auto"/>
            <w:vAlign w:val="center"/>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t>Chief Executive</w:t>
            </w:r>
          </w:p>
        </w:tc>
        <w:tc>
          <w:tcPr>
            <w:tcW w:w="1775" w:type="dxa"/>
            <w:shd w:val="clear" w:color="auto" w:fill="auto"/>
            <w:noWrap/>
            <w:vAlign w:val="center"/>
          </w:tcPr>
          <w:p w:rsidR="00C76E73" w:rsidRPr="00252953" w:rsidRDefault="00C76E73" w:rsidP="002E382D">
            <w:pPr>
              <w:spacing w:after="0"/>
              <w:jc w:val="right"/>
              <w:rPr>
                <w:rFonts w:cs="Arial"/>
                <w:color w:val="000000"/>
                <w:sz w:val="22"/>
                <w:lang w:eastAsia="en-GB"/>
              </w:rPr>
            </w:pPr>
            <w:r>
              <w:rPr>
                <w:rFonts w:cs="Arial"/>
                <w:color w:val="000000"/>
                <w:sz w:val="22"/>
                <w:lang w:eastAsia="en-GB"/>
              </w:rPr>
              <w:t>1.035</w:t>
            </w:r>
          </w:p>
        </w:tc>
      </w:tr>
      <w:tr w:rsidR="00C76E73" w:rsidRPr="00252953" w:rsidTr="007F0882">
        <w:trPr>
          <w:trHeight w:val="397"/>
        </w:trPr>
        <w:tc>
          <w:tcPr>
            <w:tcW w:w="5875" w:type="dxa"/>
            <w:shd w:val="clear" w:color="auto" w:fill="auto"/>
            <w:vAlign w:val="center"/>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t>Children's Services</w:t>
            </w:r>
          </w:p>
        </w:tc>
        <w:tc>
          <w:tcPr>
            <w:tcW w:w="1775" w:type="dxa"/>
            <w:shd w:val="clear" w:color="auto" w:fill="auto"/>
            <w:noWrap/>
            <w:vAlign w:val="center"/>
          </w:tcPr>
          <w:p w:rsidR="00C76E73" w:rsidRPr="00252953" w:rsidRDefault="005107A8" w:rsidP="00845017">
            <w:pPr>
              <w:spacing w:after="0"/>
              <w:jc w:val="right"/>
              <w:rPr>
                <w:rFonts w:cs="Arial"/>
                <w:color w:val="000000"/>
                <w:sz w:val="22"/>
                <w:lang w:eastAsia="en-GB"/>
              </w:rPr>
            </w:pPr>
            <w:r>
              <w:rPr>
                <w:rFonts w:cs="Arial"/>
                <w:color w:val="000000"/>
                <w:sz w:val="22"/>
                <w:lang w:eastAsia="en-GB"/>
              </w:rPr>
              <w:t>99.5</w:t>
            </w:r>
            <w:r w:rsidR="00845017">
              <w:rPr>
                <w:rFonts w:cs="Arial"/>
                <w:color w:val="000000"/>
                <w:sz w:val="22"/>
                <w:lang w:eastAsia="en-GB"/>
              </w:rPr>
              <w:t>9</w:t>
            </w:r>
            <w:r>
              <w:rPr>
                <w:rFonts w:cs="Arial"/>
                <w:color w:val="000000"/>
                <w:sz w:val="22"/>
                <w:lang w:eastAsia="en-GB"/>
              </w:rPr>
              <w:t>4</w:t>
            </w:r>
          </w:p>
        </w:tc>
      </w:tr>
      <w:tr w:rsidR="00C76E73" w:rsidRPr="00252953" w:rsidTr="007F0882">
        <w:trPr>
          <w:trHeight w:val="397"/>
        </w:trPr>
        <w:tc>
          <w:tcPr>
            <w:tcW w:w="5875" w:type="dxa"/>
            <w:shd w:val="clear" w:color="auto" w:fill="auto"/>
            <w:vAlign w:val="center"/>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t>Community Services</w:t>
            </w:r>
          </w:p>
        </w:tc>
        <w:tc>
          <w:tcPr>
            <w:tcW w:w="1775" w:type="dxa"/>
            <w:shd w:val="clear" w:color="auto" w:fill="auto"/>
            <w:noWrap/>
            <w:vAlign w:val="center"/>
          </w:tcPr>
          <w:p w:rsidR="00C76E73" w:rsidRPr="00252953" w:rsidRDefault="005D7791" w:rsidP="00845017">
            <w:pPr>
              <w:spacing w:after="0"/>
              <w:jc w:val="right"/>
              <w:rPr>
                <w:rFonts w:cs="Arial"/>
                <w:color w:val="000000"/>
                <w:sz w:val="22"/>
                <w:lang w:eastAsia="en-GB"/>
              </w:rPr>
            </w:pPr>
            <w:r>
              <w:rPr>
                <w:rFonts w:cs="Arial"/>
                <w:color w:val="000000"/>
                <w:sz w:val="22"/>
                <w:lang w:eastAsia="en-GB"/>
              </w:rPr>
              <w:t>12</w:t>
            </w:r>
            <w:r w:rsidR="00845017">
              <w:rPr>
                <w:rFonts w:cs="Arial"/>
                <w:color w:val="000000"/>
                <w:sz w:val="22"/>
                <w:lang w:eastAsia="en-GB"/>
              </w:rPr>
              <w:t>9</w:t>
            </w:r>
            <w:r>
              <w:rPr>
                <w:rFonts w:cs="Arial"/>
                <w:color w:val="000000"/>
                <w:sz w:val="22"/>
                <w:lang w:eastAsia="en-GB"/>
              </w:rPr>
              <w:t>.</w:t>
            </w:r>
            <w:r w:rsidR="00845017">
              <w:rPr>
                <w:rFonts w:cs="Arial"/>
                <w:color w:val="000000"/>
                <w:sz w:val="22"/>
                <w:lang w:eastAsia="en-GB"/>
              </w:rPr>
              <w:t>024</w:t>
            </w:r>
          </w:p>
        </w:tc>
      </w:tr>
      <w:tr w:rsidR="00C76E73" w:rsidRPr="00252953" w:rsidTr="007F0882">
        <w:trPr>
          <w:trHeight w:val="397"/>
        </w:trPr>
        <w:tc>
          <w:tcPr>
            <w:tcW w:w="5875" w:type="dxa"/>
            <w:shd w:val="clear" w:color="auto" w:fill="auto"/>
            <w:vAlign w:val="center"/>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t>Corporate Commissioning</w:t>
            </w:r>
          </w:p>
        </w:tc>
        <w:tc>
          <w:tcPr>
            <w:tcW w:w="1775" w:type="dxa"/>
            <w:shd w:val="clear" w:color="auto" w:fill="auto"/>
            <w:noWrap/>
            <w:vAlign w:val="center"/>
          </w:tcPr>
          <w:p w:rsidR="00C76E73" w:rsidRPr="00252953" w:rsidRDefault="00C76E73" w:rsidP="002E382D">
            <w:pPr>
              <w:spacing w:after="0"/>
              <w:jc w:val="right"/>
              <w:rPr>
                <w:rFonts w:cs="Arial"/>
                <w:color w:val="000000"/>
                <w:sz w:val="22"/>
                <w:lang w:eastAsia="en-GB"/>
              </w:rPr>
            </w:pPr>
            <w:r>
              <w:rPr>
                <w:rFonts w:cs="Arial"/>
                <w:color w:val="000000"/>
                <w:sz w:val="22"/>
                <w:lang w:eastAsia="en-GB"/>
              </w:rPr>
              <w:t>13.715</w:t>
            </w:r>
          </w:p>
        </w:tc>
      </w:tr>
      <w:tr w:rsidR="00C76E73" w:rsidRPr="00252953" w:rsidTr="007F0882">
        <w:trPr>
          <w:trHeight w:val="397"/>
        </w:trPr>
        <w:tc>
          <w:tcPr>
            <w:tcW w:w="5875" w:type="dxa"/>
            <w:shd w:val="clear" w:color="auto" w:fill="auto"/>
            <w:vAlign w:val="center"/>
          </w:tcPr>
          <w:p w:rsidR="00C76E73" w:rsidRPr="00252953" w:rsidRDefault="00845017" w:rsidP="001D0484">
            <w:pPr>
              <w:spacing w:after="0"/>
              <w:jc w:val="both"/>
              <w:rPr>
                <w:rFonts w:cs="Arial"/>
                <w:color w:val="000000"/>
                <w:sz w:val="22"/>
                <w:lang w:eastAsia="en-GB"/>
              </w:rPr>
            </w:pPr>
            <w:r>
              <w:rPr>
                <w:rFonts w:cs="Arial"/>
                <w:color w:val="000000"/>
                <w:sz w:val="22"/>
                <w:lang w:eastAsia="en-GB"/>
              </w:rPr>
              <w:t>Customer Access</w:t>
            </w:r>
          </w:p>
        </w:tc>
        <w:tc>
          <w:tcPr>
            <w:tcW w:w="1775" w:type="dxa"/>
            <w:shd w:val="clear" w:color="auto" w:fill="auto"/>
            <w:noWrap/>
            <w:vAlign w:val="center"/>
          </w:tcPr>
          <w:p w:rsidR="00C76E73" w:rsidRPr="00252953" w:rsidRDefault="00845017" w:rsidP="00845017">
            <w:pPr>
              <w:spacing w:after="0"/>
              <w:jc w:val="right"/>
              <w:rPr>
                <w:rFonts w:cs="Arial"/>
                <w:color w:val="000000"/>
                <w:sz w:val="22"/>
                <w:lang w:eastAsia="en-GB"/>
              </w:rPr>
            </w:pPr>
            <w:r>
              <w:rPr>
                <w:rFonts w:cs="Arial"/>
                <w:color w:val="000000"/>
                <w:sz w:val="22"/>
                <w:lang w:eastAsia="en-GB"/>
              </w:rPr>
              <w:t>3.607</w:t>
            </w:r>
          </w:p>
        </w:tc>
      </w:tr>
      <w:tr w:rsidR="00C76E73" w:rsidRPr="00252953" w:rsidTr="007F0882">
        <w:trPr>
          <w:trHeight w:val="397"/>
        </w:trPr>
        <w:tc>
          <w:tcPr>
            <w:tcW w:w="5875" w:type="dxa"/>
            <w:shd w:val="clear" w:color="auto" w:fill="auto"/>
            <w:vAlign w:val="center"/>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t>Development and Corporate Services</w:t>
            </w:r>
          </w:p>
        </w:tc>
        <w:tc>
          <w:tcPr>
            <w:tcW w:w="1775" w:type="dxa"/>
            <w:shd w:val="clear" w:color="auto" w:fill="auto"/>
            <w:noWrap/>
            <w:vAlign w:val="center"/>
          </w:tcPr>
          <w:p w:rsidR="00C76E73" w:rsidRPr="00252953" w:rsidRDefault="00C76E73" w:rsidP="002E382D">
            <w:pPr>
              <w:spacing w:after="0"/>
              <w:jc w:val="right"/>
              <w:rPr>
                <w:rFonts w:cs="Arial"/>
                <w:color w:val="000000"/>
                <w:sz w:val="22"/>
                <w:lang w:eastAsia="en-GB"/>
              </w:rPr>
            </w:pPr>
            <w:r>
              <w:rPr>
                <w:rFonts w:cs="Arial"/>
                <w:color w:val="000000"/>
                <w:sz w:val="22"/>
                <w:lang w:eastAsia="en-GB"/>
              </w:rPr>
              <w:t>39.496</w:t>
            </w:r>
          </w:p>
        </w:tc>
      </w:tr>
      <w:tr w:rsidR="00C76E73" w:rsidRPr="00252953" w:rsidTr="007F0882">
        <w:trPr>
          <w:trHeight w:val="397"/>
        </w:trPr>
        <w:tc>
          <w:tcPr>
            <w:tcW w:w="5875" w:type="dxa"/>
            <w:shd w:val="clear" w:color="auto" w:fill="auto"/>
            <w:vAlign w:val="center"/>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t>Governance, Finance and Public Services</w:t>
            </w:r>
          </w:p>
        </w:tc>
        <w:tc>
          <w:tcPr>
            <w:tcW w:w="1775" w:type="dxa"/>
            <w:shd w:val="clear" w:color="auto" w:fill="auto"/>
            <w:noWrap/>
            <w:vAlign w:val="center"/>
          </w:tcPr>
          <w:p w:rsidR="00C76E73" w:rsidRPr="00252953" w:rsidRDefault="00C76E73" w:rsidP="002E382D">
            <w:pPr>
              <w:spacing w:after="0"/>
              <w:jc w:val="right"/>
              <w:rPr>
                <w:rFonts w:cs="Arial"/>
                <w:color w:val="000000"/>
                <w:sz w:val="22"/>
                <w:lang w:eastAsia="en-GB"/>
              </w:rPr>
            </w:pPr>
            <w:r>
              <w:rPr>
                <w:rFonts w:cs="Arial"/>
                <w:color w:val="000000"/>
                <w:sz w:val="22"/>
                <w:lang w:eastAsia="en-GB"/>
              </w:rPr>
              <w:t>13.992</w:t>
            </w:r>
          </w:p>
        </w:tc>
      </w:tr>
      <w:tr w:rsidR="00C76E73" w:rsidRPr="00252953" w:rsidTr="007F0882">
        <w:trPr>
          <w:trHeight w:val="397"/>
        </w:trPr>
        <w:tc>
          <w:tcPr>
            <w:tcW w:w="5875" w:type="dxa"/>
            <w:shd w:val="clear" w:color="auto" w:fill="auto"/>
            <w:vAlign w:val="center"/>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t>Lancashire Pension Fund</w:t>
            </w:r>
          </w:p>
        </w:tc>
        <w:tc>
          <w:tcPr>
            <w:tcW w:w="1775" w:type="dxa"/>
            <w:shd w:val="clear" w:color="auto" w:fill="auto"/>
            <w:noWrap/>
            <w:vAlign w:val="center"/>
          </w:tcPr>
          <w:p w:rsidR="00C76E73" w:rsidRPr="00252953" w:rsidRDefault="00C76E73" w:rsidP="002E382D">
            <w:pPr>
              <w:spacing w:after="0"/>
              <w:jc w:val="right"/>
              <w:rPr>
                <w:rFonts w:cs="Arial"/>
                <w:color w:val="000000"/>
                <w:sz w:val="22"/>
                <w:lang w:eastAsia="en-GB"/>
              </w:rPr>
            </w:pPr>
            <w:r>
              <w:rPr>
                <w:rFonts w:cs="Arial"/>
                <w:color w:val="000000"/>
                <w:sz w:val="22"/>
                <w:lang w:eastAsia="en-GB"/>
              </w:rPr>
              <w:t>-2.097</w:t>
            </w:r>
          </w:p>
        </w:tc>
      </w:tr>
      <w:tr w:rsidR="00C76E73" w:rsidRPr="00252953" w:rsidTr="007F0882">
        <w:trPr>
          <w:trHeight w:val="397"/>
        </w:trPr>
        <w:tc>
          <w:tcPr>
            <w:tcW w:w="5875" w:type="dxa"/>
            <w:shd w:val="clear" w:color="auto" w:fill="auto"/>
            <w:vAlign w:val="center"/>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t>Corporate</w:t>
            </w:r>
            <w:r w:rsidR="005107A8">
              <w:rPr>
                <w:rFonts w:cs="Arial"/>
                <w:color w:val="000000"/>
                <w:sz w:val="22"/>
                <w:lang w:eastAsia="en-GB"/>
              </w:rPr>
              <w:t xml:space="preserve"> &amp; Other</w:t>
            </w:r>
          </w:p>
        </w:tc>
        <w:tc>
          <w:tcPr>
            <w:tcW w:w="1775" w:type="dxa"/>
            <w:shd w:val="clear" w:color="auto" w:fill="auto"/>
            <w:noWrap/>
            <w:vAlign w:val="center"/>
          </w:tcPr>
          <w:p w:rsidR="00C76E73" w:rsidRPr="00252953" w:rsidRDefault="005107A8" w:rsidP="002E382D">
            <w:pPr>
              <w:spacing w:after="0"/>
              <w:jc w:val="right"/>
              <w:rPr>
                <w:rFonts w:cs="Arial"/>
                <w:color w:val="000000"/>
                <w:sz w:val="22"/>
                <w:lang w:eastAsia="en-GB"/>
              </w:rPr>
            </w:pPr>
            <w:r>
              <w:rPr>
                <w:rFonts w:cs="Arial"/>
                <w:color w:val="000000"/>
                <w:sz w:val="22"/>
                <w:lang w:eastAsia="en-GB"/>
              </w:rPr>
              <w:t>41.149</w:t>
            </w:r>
          </w:p>
        </w:tc>
      </w:tr>
      <w:tr w:rsidR="00C76E73" w:rsidRPr="00252953" w:rsidTr="007F0882">
        <w:trPr>
          <w:trHeight w:val="397"/>
        </w:trPr>
        <w:tc>
          <w:tcPr>
            <w:tcW w:w="5875" w:type="dxa"/>
            <w:shd w:val="clear" w:color="auto" w:fill="auto"/>
            <w:vAlign w:val="center"/>
          </w:tcPr>
          <w:p w:rsidR="00C76E73" w:rsidRPr="00252953" w:rsidRDefault="00C76E73" w:rsidP="001D0484">
            <w:pPr>
              <w:spacing w:after="0"/>
              <w:jc w:val="both"/>
              <w:rPr>
                <w:rFonts w:cs="Arial"/>
                <w:bCs/>
                <w:color w:val="000000"/>
                <w:sz w:val="22"/>
                <w:lang w:eastAsia="en-GB"/>
              </w:rPr>
            </w:pPr>
            <w:r w:rsidRPr="00252953">
              <w:rPr>
                <w:rFonts w:cs="Arial"/>
                <w:bCs/>
                <w:color w:val="000000"/>
                <w:sz w:val="22"/>
                <w:lang w:eastAsia="en-GB"/>
              </w:rPr>
              <w:t>Public Health</w:t>
            </w:r>
          </w:p>
        </w:tc>
        <w:tc>
          <w:tcPr>
            <w:tcW w:w="1775" w:type="dxa"/>
            <w:shd w:val="clear" w:color="auto" w:fill="auto"/>
            <w:noWrap/>
            <w:vAlign w:val="center"/>
          </w:tcPr>
          <w:p w:rsidR="00C76E73" w:rsidRPr="00252953" w:rsidRDefault="00C76E73" w:rsidP="00845017">
            <w:pPr>
              <w:spacing w:after="0"/>
              <w:jc w:val="right"/>
              <w:rPr>
                <w:rFonts w:cs="Arial"/>
                <w:bCs/>
                <w:color w:val="000000"/>
                <w:sz w:val="22"/>
                <w:lang w:eastAsia="en-GB"/>
              </w:rPr>
            </w:pPr>
            <w:r>
              <w:rPr>
                <w:rFonts w:cs="Arial"/>
                <w:bCs/>
                <w:color w:val="000000"/>
                <w:sz w:val="22"/>
                <w:lang w:eastAsia="en-GB"/>
              </w:rPr>
              <w:t>2</w:t>
            </w:r>
            <w:r w:rsidR="00845017">
              <w:rPr>
                <w:rFonts w:cs="Arial"/>
                <w:bCs/>
                <w:color w:val="000000"/>
                <w:sz w:val="22"/>
                <w:lang w:eastAsia="en-GB"/>
              </w:rPr>
              <w:t>4</w:t>
            </w:r>
            <w:r>
              <w:rPr>
                <w:rFonts w:cs="Arial"/>
                <w:bCs/>
                <w:color w:val="000000"/>
                <w:sz w:val="22"/>
                <w:lang w:eastAsia="en-GB"/>
              </w:rPr>
              <w:t>.</w:t>
            </w:r>
            <w:r w:rsidR="00845017">
              <w:rPr>
                <w:rFonts w:cs="Arial"/>
                <w:bCs/>
                <w:color w:val="000000"/>
                <w:sz w:val="22"/>
                <w:lang w:eastAsia="en-GB"/>
              </w:rPr>
              <w:t>013</w:t>
            </w:r>
          </w:p>
        </w:tc>
      </w:tr>
      <w:tr w:rsidR="00C76E73" w:rsidRPr="00252953" w:rsidTr="007F0882">
        <w:trPr>
          <w:trHeight w:val="397"/>
        </w:trPr>
        <w:tc>
          <w:tcPr>
            <w:tcW w:w="5875" w:type="dxa"/>
            <w:shd w:val="clear" w:color="auto" w:fill="auto"/>
            <w:vAlign w:val="center"/>
            <w:hideMark/>
          </w:tcPr>
          <w:p w:rsidR="00C76E73" w:rsidRPr="00252953" w:rsidRDefault="002E382D" w:rsidP="001D0484">
            <w:pPr>
              <w:spacing w:after="0"/>
              <w:jc w:val="both"/>
              <w:rPr>
                <w:rFonts w:cs="Arial"/>
                <w:b/>
                <w:bCs/>
                <w:color w:val="000000"/>
                <w:sz w:val="22"/>
                <w:lang w:eastAsia="en-GB"/>
              </w:rPr>
            </w:pPr>
            <w:r>
              <w:rPr>
                <w:rFonts w:cs="Arial"/>
                <w:b/>
                <w:bCs/>
                <w:color w:val="000000"/>
                <w:sz w:val="22"/>
                <w:lang w:eastAsia="en-GB"/>
              </w:rPr>
              <w:t>Sub-Total</w:t>
            </w:r>
          </w:p>
        </w:tc>
        <w:tc>
          <w:tcPr>
            <w:tcW w:w="1775" w:type="dxa"/>
            <w:shd w:val="clear" w:color="auto" w:fill="auto"/>
            <w:noWrap/>
            <w:vAlign w:val="center"/>
          </w:tcPr>
          <w:p w:rsidR="00C76E73" w:rsidRPr="00252953" w:rsidRDefault="005D7791" w:rsidP="002E382D">
            <w:pPr>
              <w:spacing w:after="0"/>
              <w:jc w:val="right"/>
              <w:rPr>
                <w:rFonts w:cs="Arial"/>
                <w:b/>
                <w:bCs/>
                <w:color w:val="000000"/>
                <w:sz w:val="22"/>
                <w:lang w:eastAsia="en-GB"/>
              </w:rPr>
            </w:pPr>
            <w:r>
              <w:rPr>
                <w:rFonts w:cs="Arial"/>
                <w:b/>
                <w:bCs/>
                <w:color w:val="000000"/>
                <w:sz w:val="22"/>
                <w:lang w:eastAsia="en-GB"/>
              </w:rPr>
              <w:t>696.191</w:t>
            </w:r>
          </w:p>
        </w:tc>
      </w:tr>
      <w:tr w:rsidR="00C76E73" w:rsidRPr="00252953" w:rsidTr="007F0882">
        <w:trPr>
          <w:trHeight w:val="397"/>
        </w:trPr>
        <w:tc>
          <w:tcPr>
            <w:tcW w:w="5875" w:type="dxa"/>
            <w:shd w:val="clear" w:color="auto" w:fill="BFBFBF" w:themeFill="background1" w:themeFillShade="BF"/>
            <w:vAlign w:val="center"/>
            <w:hideMark/>
          </w:tcPr>
          <w:p w:rsidR="00C76E73" w:rsidRPr="00C36FEB" w:rsidRDefault="00C76E73" w:rsidP="001D0484">
            <w:pPr>
              <w:spacing w:after="0"/>
              <w:jc w:val="both"/>
              <w:rPr>
                <w:rFonts w:cs="Arial"/>
                <w:bCs/>
                <w:color w:val="000000"/>
                <w:sz w:val="22"/>
                <w:lang w:eastAsia="en-GB"/>
              </w:rPr>
            </w:pPr>
          </w:p>
        </w:tc>
        <w:tc>
          <w:tcPr>
            <w:tcW w:w="1775" w:type="dxa"/>
            <w:shd w:val="clear" w:color="auto" w:fill="BFBFBF" w:themeFill="background1" w:themeFillShade="BF"/>
            <w:noWrap/>
            <w:vAlign w:val="center"/>
          </w:tcPr>
          <w:p w:rsidR="00C76E73" w:rsidRPr="00C36FEB" w:rsidRDefault="00C76E73" w:rsidP="002E382D">
            <w:pPr>
              <w:spacing w:after="0"/>
              <w:jc w:val="right"/>
              <w:rPr>
                <w:rFonts w:cs="Arial"/>
                <w:bCs/>
                <w:color w:val="000000"/>
                <w:sz w:val="22"/>
                <w:lang w:eastAsia="en-GB"/>
              </w:rPr>
            </w:pPr>
          </w:p>
        </w:tc>
      </w:tr>
      <w:tr w:rsidR="00C76E73" w:rsidRPr="00252953" w:rsidTr="001656A0">
        <w:trPr>
          <w:trHeight w:val="461"/>
        </w:trPr>
        <w:tc>
          <w:tcPr>
            <w:tcW w:w="5875" w:type="dxa"/>
            <w:shd w:val="clear" w:color="auto" w:fill="auto"/>
            <w:vAlign w:val="center"/>
            <w:hideMark/>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lastRenderedPageBreak/>
              <w:t>Financing Charges</w:t>
            </w:r>
          </w:p>
        </w:tc>
        <w:tc>
          <w:tcPr>
            <w:tcW w:w="1775" w:type="dxa"/>
            <w:shd w:val="clear" w:color="auto" w:fill="auto"/>
            <w:noWrap/>
            <w:vAlign w:val="center"/>
          </w:tcPr>
          <w:p w:rsidR="00C76E73" w:rsidRPr="00252953" w:rsidRDefault="005D7791" w:rsidP="002E382D">
            <w:pPr>
              <w:spacing w:after="0"/>
              <w:jc w:val="right"/>
              <w:rPr>
                <w:rFonts w:cs="Arial"/>
                <w:color w:val="000000"/>
                <w:sz w:val="22"/>
                <w:lang w:eastAsia="en-GB"/>
              </w:rPr>
            </w:pPr>
            <w:r>
              <w:rPr>
                <w:rFonts w:cs="Arial"/>
                <w:color w:val="000000"/>
                <w:sz w:val="22"/>
                <w:lang w:eastAsia="en-GB"/>
              </w:rPr>
              <w:t>33.324</w:t>
            </w:r>
          </w:p>
        </w:tc>
      </w:tr>
      <w:tr w:rsidR="00C76E73" w:rsidRPr="00252953" w:rsidTr="001656A0">
        <w:trPr>
          <w:trHeight w:val="461"/>
        </w:trPr>
        <w:tc>
          <w:tcPr>
            <w:tcW w:w="5875" w:type="dxa"/>
            <w:shd w:val="clear" w:color="auto" w:fill="auto"/>
            <w:vAlign w:val="center"/>
            <w:hideMark/>
          </w:tcPr>
          <w:p w:rsidR="00C76E73" w:rsidRPr="00252953" w:rsidRDefault="00C76E73" w:rsidP="001D0484">
            <w:pPr>
              <w:spacing w:after="0"/>
              <w:jc w:val="both"/>
              <w:rPr>
                <w:rFonts w:cs="Arial"/>
                <w:color w:val="000000"/>
                <w:sz w:val="22"/>
                <w:lang w:eastAsia="en-GB"/>
              </w:rPr>
            </w:pPr>
            <w:r w:rsidRPr="00252953">
              <w:rPr>
                <w:rFonts w:cs="Arial"/>
                <w:color w:val="000000"/>
                <w:sz w:val="22"/>
                <w:lang w:eastAsia="en-GB"/>
              </w:rPr>
              <w:t>Use of one off resources</w:t>
            </w:r>
          </w:p>
        </w:tc>
        <w:tc>
          <w:tcPr>
            <w:tcW w:w="1775" w:type="dxa"/>
            <w:shd w:val="clear" w:color="auto" w:fill="auto"/>
            <w:noWrap/>
            <w:vAlign w:val="center"/>
          </w:tcPr>
          <w:p w:rsidR="00C76E73" w:rsidRPr="00252953" w:rsidRDefault="00C76E73" w:rsidP="002E382D">
            <w:pPr>
              <w:spacing w:after="0"/>
              <w:jc w:val="right"/>
              <w:rPr>
                <w:rFonts w:cs="Arial"/>
                <w:color w:val="000000"/>
                <w:sz w:val="22"/>
                <w:lang w:eastAsia="en-GB"/>
              </w:rPr>
            </w:pPr>
            <w:r>
              <w:rPr>
                <w:rFonts w:cs="Arial"/>
                <w:color w:val="000000"/>
                <w:sz w:val="22"/>
                <w:lang w:eastAsia="en-GB"/>
              </w:rPr>
              <w:t>-17.603</w:t>
            </w:r>
          </w:p>
        </w:tc>
      </w:tr>
      <w:tr w:rsidR="00C76E73" w:rsidRPr="00252953" w:rsidTr="001656A0">
        <w:trPr>
          <w:trHeight w:val="461"/>
        </w:trPr>
        <w:tc>
          <w:tcPr>
            <w:tcW w:w="5875" w:type="dxa"/>
            <w:shd w:val="clear" w:color="auto" w:fill="auto"/>
            <w:vAlign w:val="center"/>
            <w:hideMark/>
          </w:tcPr>
          <w:p w:rsidR="00C76E73" w:rsidRPr="00252953" w:rsidRDefault="00C76E73" w:rsidP="001D0484">
            <w:pPr>
              <w:spacing w:after="0"/>
              <w:jc w:val="both"/>
              <w:rPr>
                <w:rFonts w:cs="Arial"/>
                <w:b/>
                <w:bCs/>
                <w:color w:val="000000"/>
                <w:sz w:val="22"/>
                <w:lang w:eastAsia="en-GB"/>
              </w:rPr>
            </w:pPr>
            <w:r w:rsidRPr="00252953">
              <w:rPr>
                <w:rFonts w:cs="Arial"/>
                <w:b/>
                <w:bCs/>
                <w:color w:val="000000"/>
                <w:sz w:val="22"/>
                <w:lang w:eastAsia="en-GB"/>
              </w:rPr>
              <w:t>Revenue budget 2016/17</w:t>
            </w:r>
          </w:p>
        </w:tc>
        <w:tc>
          <w:tcPr>
            <w:tcW w:w="1775" w:type="dxa"/>
            <w:shd w:val="clear" w:color="auto" w:fill="auto"/>
            <w:noWrap/>
            <w:vAlign w:val="center"/>
          </w:tcPr>
          <w:p w:rsidR="00C76E73" w:rsidRPr="00252953" w:rsidRDefault="00C76E73" w:rsidP="002E382D">
            <w:pPr>
              <w:spacing w:after="0"/>
              <w:jc w:val="right"/>
              <w:rPr>
                <w:rFonts w:cs="Arial"/>
                <w:b/>
                <w:bCs/>
                <w:color w:val="000000"/>
                <w:sz w:val="22"/>
                <w:lang w:eastAsia="en-GB"/>
              </w:rPr>
            </w:pPr>
            <w:r>
              <w:rPr>
                <w:rFonts w:cs="Arial"/>
                <w:b/>
                <w:bCs/>
                <w:color w:val="000000"/>
                <w:sz w:val="22"/>
                <w:lang w:eastAsia="en-GB"/>
              </w:rPr>
              <w:t>711.912</w:t>
            </w:r>
          </w:p>
        </w:tc>
      </w:tr>
      <w:tr w:rsidR="00C76E73" w:rsidRPr="004321DB" w:rsidTr="001656A0">
        <w:trPr>
          <w:trHeight w:val="421"/>
        </w:trPr>
        <w:tc>
          <w:tcPr>
            <w:tcW w:w="5875" w:type="dxa"/>
            <w:shd w:val="clear" w:color="auto" w:fill="BFBFBF" w:themeFill="background1" w:themeFillShade="BF"/>
            <w:vAlign w:val="center"/>
            <w:hideMark/>
          </w:tcPr>
          <w:p w:rsidR="00C76E73" w:rsidRPr="004321DB" w:rsidRDefault="00C76E73" w:rsidP="001D0484">
            <w:pPr>
              <w:spacing w:after="0"/>
              <w:jc w:val="both"/>
              <w:rPr>
                <w:rFonts w:cs="Arial"/>
                <w:color w:val="000000"/>
                <w:sz w:val="22"/>
                <w:lang w:eastAsia="en-GB"/>
              </w:rPr>
            </w:pPr>
            <w:r w:rsidRPr="004321DB">
              <w:rPr>
                <w:rFonts w:cs="Arial"/>
                <w:color w:val="000000"/>
                <w:sz w:val="22"/>
                <w:lang w:eastAsia="en-GB"/>
              </w:rPr>
              <w:t> </w:t>
            </w:r>
          </w:p>
        </w:tc>
        <w:tc>
          <w:tcPr>
            <w:tcW w:w="1775" w:type="dxa"/>
            <w:shd w:val="clear" w:color="auto" w:fill="BFBFBF" w:themeFill="background1" w:themeFillShade="BF"/>
            <w:noWrap/>
            <w:vAlign w:val="center"/>
          </w:tcPr>
          <w:p w:rsidR="00C76E73" w:rsidRPr="004321DB" w:rsidRDefault="00C76E73" w:rsidP="002E382D">
            <w:pPr>
              <w:spacing w:after="0"/>
              <w:jc w:val="right"/>
              <w:rPr>
                <w:rFonts w:cs="Arial"/>
                <w:color w:val="000000"/>
                <w:sz w:val="22"/>
                <w:lang w:eastAsia="en-GB"/>
              </w:rPr>
            </w:pPr>
          </w:p>
        </w:tc>
      </w:tr>
      <w:tr w:rsidR="00C76E73" w:rsidRPr="004321DB" w:rsidTr="001656A0">
        <w:trPr>
          <w:trHeight w:val="474"/>
        </w:trPr>
        <w:tc>
          <w:tcPr>
            <w:tcW w:w="5875" w:type="dxa"/>
            <w:shd w:val="clear" w:color="auto" w:fill="auto"/>
            <w:vAlign w:val="center"/>
            <w:hideMark/>
          </w:tcPr>
          <w:p w:rsidR="00C76E73" w:rsidRPr="004321DB" w:rsidRDefault="00C76E73" w:rsidP="007F0882">
            <w:pPr>
              <w:spacing w:after="0" w:line="240" w:lineRule="auto"/>
              <w:jc w:val="both"/>
              <w:rPr>
                <w:rFonts w:cs="Arial"/>
                <w:b/>
                <w:bCs/>
                <w:color w:val="000000"/>
                <w:sz w:val="22"/>
                <w:lang w:eastAsia="en-GB"/>
              </w:rPr>
            </w:pPr>
            <w:r w:rsidRPr="004321DB">
              <w:rPr>
                <w:rFonts w:cs="Arial"/>
                <w:b/>
                <w:bCs/>
                <w:color w:val="000000"/>
                <w:sz w:val="22"/>
                <w:lang w:eastAsia="en-GB"/>
              </w:rPr>
              <w:t>Funded by</w:t>
            </w:r>
          </w:p>
        </w:tc>
        <w:tc>
          <w:tcPr>
            <w:tcW w:w="1775" w:type="dxa"/>
            <w:shd w:val="clear" w:color="auto" w:fill="auto"/>
            <w:noWrap/>
            <w:vAlign w:val="center"/>
          </w:tcPr>
          <w:p w:rsidR="00C76E73" w:rsidRPr="004321DB" w:rsidRDefault="00C76E73" w:rsidP="007F0882">
            <w:pPr>
              <w:spacing w:after="0" w:line="240" w:lineRule="auto"/>
              <w:jc w:val="right"/>
              <w:rPr>
                <w:rFonts w:cs="Arial"/>
                <w:color w:val="000000"/>
                <w:sz w:val="22"/>
                <w:lang w:eastAsia="en-GB"/>
              </w:rPr>
            </w:pPr>
          </w:p>
        </w:tc>
      </w:tr>
      <w:tr w:rsidR="00C76E73" w:rsidRPr="004321DB" w:rsidTr="001656A0">
        <w:trPr>
          <w:trHeight w:val="474"/>
        </w:trPr>
        <w:tc>
          <w:tcPr>
            <w:tcW w:w="5875" w:type="dxa"/>
            <w:shd w:val="clear" w:color="auto" w:fill="auto"/>
            <w:vAlign w:val="center"/>
            <w:hideMark/>
          </w:tcPr>
          <w:p w:rsidR="00C76E73" w:rsidRPr="004321DB" w:rsidRDefault="00C76E73" w:rsidP="001D0484">
            <w:pPr>
              <w:spacing w:after="0"/>
              <w:jc w:val="both"/>
              <w:rPr>
                <w:rFonts w:cs="Arial"/>
                <w:color w:val="000000"/>
                <w:sz w:val="22"/>
                <w:lang w:eastAsia="en-GB"/>
              </w:rPr>
            </w:pPr>
            <w:r w:rsidRPr="004321DB">
              <w:rPr>
                <w:rFonts w:cs="Arial"/>
                <w:color w:val="000000"/>
                <w:sz w:val="22"/>
                <w:lang w:eastAsia="en-GB"/>
              </w:rPr>
              <w:t>Business rates</w:t>
            </w:r>
          </w:p>
        </w:tc>
        <w:tc>
          <w:tcPr>
            <w:tcW w:w="1775" w:type="dxa"/>
            <w:shd w:val="clear" w:color="auto" w:fill="auto"/>
            <w:noWrap/>
            <w:vAlign w:val="center"/>
          </w:tcPr>
          <w:p w:rsidR="00C76E73" w:rsidRPr="004321DB" w:rsidRDefault="00C76E73" w:rsidP="002E382D">
            <w:pPr>
              <w:spacing w:after="0"/>
              <w:jc w:val="right"/>
              <w:rPr>
                <w:rFonts w:cs="Arial"/>
                <w:color w:val="000000"/>
                <w:sz w:val="22"/>
                <w:lang w:eastAsia="en-GB"/>
              </w:rPr>
            </w:pPr>
            <w:r>
              <w:rPr>
                <w:rFonts w:cs="Arial"/>
                <w:color w:val="000000"/>
                <w:sz w:val="22"/>
                <w:lang w:eastAsia="en-GB"/>
              </w:rPr>
              <w:t>177.985</w:t>
            </w:r>
          </w:p>
        </w:tc>
      </w:tr>
      <w:tr w:rsidR="00C76E73" w:rsidRPr="004321DB" w:rsidTr="001656A0">
        <w:trPr>
          <w:trHeight w:val="474"/>
        </w:trPr>
        <w:tc>
          <w:tcPr>
            <w:tcW w:w="5875" w:type="dxa"/>
            <w:shd w:val="clear" w:color="auto" w:fill="auto"/>
            <w:vAlign w:val="center"/>
            <w:hideMark/>
          </w:tcPr>
          <w:p w:rsidR="00C76E73" w:rsidRPr="004321DB" w:rsidRDefault="00C76E73" w:rsidP="001D0484">
            <w:pPr>
              <w:spacing w:after="0"/>
              <w:jc w:val="both"/>
              <w:rPr>
                <w:rFonts w:cs="Arial"/>
                <w:color w:val="000000"/>
                <w:sz w:val="22"/>
                <w:lang w:eastAsia="en-GB"/>
              </w:rPr>
            </w:pPr>
            <w:r w:rsidRPr="004321DB">
              <w:rPr>
                <w:rFonts w:cs="Arial"/>
                <w:color w:val="000000"/>
                <w:sz w:val="22"/>
                <w:lang w:eastAsia="en-GB"/>
              </w:rPr>
              <w:t>Council Tax</w:t>
            </w:r>
          </w:p>
        </w:tc>
        <w:tc>
          <w:tcPr>
            <w:tcW w:w="1775" w:type="dxa"/>
            <w:shd w:val="clear" w:color="auto" w:fill="auto"/>
            <w:noWrap/>
            <w:vAlign w:val="center"/>
          </w:tcPr>
          <w:p w:rsidR="00C76E73" w:rsidRPr="004321DB" w:rsidRDefault="00C76E73" w:rsidP="002E382D">
            <w:pPr>
              <w:spacing w:after="0"/>
              <w:jc w:val="right"/>
              <w:rPr>
                <w:rFonts w:cs="Arial"/>
                <w:color w:val="000000"/>
                <w:sz w:val="22"/>
                <w:lang w:eastAsia="en-GB"/>
              </w:rPr>
            </w:pPr>
            <w:r>
              <w:rPr>
                <w:rFonts w:cs="Arial"/>
                <w:color w:val="000000"/>
                <w:sz w:val="22"/>
                <w:lang w:eastAsia="en-GB"/>
              </w:rPr>
              <w:t>410.002</w:t>
            </w:r>
          </w:p>
        </w:tc>
      </w:tr>
      <w:tr w:rsidR="00C76E73" w:rsidRPr="004321DB" w:rsidTr="001656A0">
        <w:trPr>
          <w:trHeight w:val="474"/>
        </w:trPr>
        <w:tc>
          <w:tcPr>
            <w:tcW w:w="5875" w:type="dxa"/>
            <w:shd w:val="clear" w:color="auto" w:fill="auto"/>
            <w:vAlign w:val="center"/>
            <w:hideMark/>
          </w:tcPr>
          <w:p w:rsidR="00C76E73" w:rsidRPr="004321DB" w:rsidRDefault="00C76E73" w:rsidP="001D0484">
            <w:pPr>
              <w:spacing w:after="0"/>
              <w:jc w:val="both"/>
              <w:rPr>
                <w:rFonts w:cs="Arial"/>
                <w:color w:val="000000"/>
                <w:sz w:val="22"/>
                <w:lang w:eastAsia="en-GB"/>
              </w:rPr>
            </w:pPr>
            <w:r w:rsidRPr="004321DB">
              <w:rPr>
                <w:rFonts w:cs="Arial"/>
                <w:color w:val="000000"/>
                <w:sz w:val="22"/>
                <w:lang w:eastAsia="en-GB"/>
              </w:rPr>
              <w:t>Revenue Support Grant (RSG)</w:t>
            </w:r>
          </w:p>
        </w:tc>
        <w:tc>
          <w:tcPr>
            <w:tcW w:w="1775" w:type="dxa"/>
            <w:shd w:val="clear" w:color="auto" w:fill="auto"/>
            <w:noWrap/>
            <w:vAlign w:val="center"/>
          </w:tcPr>
          <w:p w:rsidR="00C76E73" w:rsidRPr="004321DB" w:rsidRDefault="00C76E73" w:rsidP="002E382D">
            <w:pPr>
              <w:spacing w:after="0"/>
              <w:jc w:val="right"/>
              <w:rPr>
                <w:rFonts w:cs="Arial"/>
                <w:color w:val="000000"/>
                <w:sz w:val="22"/>
                <w:lang w:eastAsia="en-GB"/>
              </w:rPr>
            </w:pPr>
            <w:r>
              <w:rPr>
                <w:rFonts w:cs="Arial"/>
                <w:color w:val="000000"/>
                <w:sz w:val="22"/>
                <w:lang w:eastAsia="en-GB"/>
              </w:rPr>
              <w:t>118.841</w:t>
            </w:r>
          </w:p>
        </w:tc>
      </w:tr>
      <w:tr w:rsidR="00C76E73" w:rsidRPr="004321DB" w:rsidTr="001656A0">
        <w:trPr>
          <w:trHeight w:val="474"/>
        </w:trPr>
        <w:tc>
          <w:tcPr>
            <w:tcW w:w="5875" w:type="dxa"/>
            <w:shd w:val="clear" w:color="auto" w:fill="auto"/>
            <w:vAlign w:val="center"/>
            <w:hideMark/>
          </w:tcPr>
          <w:p w:rsidR="00C76E73" w:rsidRPr="004321DB" w:rsidRDefault="00C76E73" w:rsidP="001D0484">
            <w:pPr>
              <w:spacing w:after="0"/>
              <w:jc w:val="both"/>
              <w:rPr>
                <w:rFonts w:cs="Arial"/>
                <w:color w:val="000000"/>
                <w:sz w:val="22"/>
                <w:lang w:eastAsia="en-GB"/>
              </w:rPr>
            </w:pPr>
            <w:r w:rsidRPr="004321DB">
              <w:rPr>
                <w:rFonts w:cs="Arial"/>
                <w:color w:val="000000"/>
                <w:sz w:val="22"/>
                <w:lang w:eastAsia="en-GB"/>
              </w:rPr>
              <w:t>New Homes Bonus</w:t>
            </w:r>
          </w:p>
        </w:tc>
        <w:tc>
          <w:tcPr>
            <w:tcW w:w="1775" w:type="dxa"/>
            <w:shd w:val="clear" w:color="auto" w:fill="auto"/>
            <w:noWrap/>
            <w:vAlign w:val="center"/>
          </w:tcPr>
          <w:p w:rsidR="00C76E73" w:rsidRPr="004321DB" w:rsidRDefault="00C76E73" w:rsidP="002E382D">
            <w:pPr>
              <w:spacing w:after="0"/>
              <w:jc w:val="right"/>
              <w:rPr>
                <w:rFonts w:cs="Arial"/>
                <w:color w:val="000000"/>
                <w:sz w:val="22"/>
                <w:lang w:eastAsia="en-GB"/>
              </w:rPr>
            </w:pPr>
            <w:r>
              <w:rPr>
                <w:rFonts w:cs="Arial"/>
                <w:color w:val="000000"/>
                <w:sz w:val="22"/>
                <w:lang w:eastAsia="en-GB"/>
              </w:rPr>
              <w:t>5.084</w:t>
            </w:r>
          </w:p>
        </w:tc>
      </w:tr>
      <w:tr w:rsidR="00C76E73" w:rsidRPr="004321DB" w:rsidTr="001656A0">
        <w:trPr>
          <w:trHeight w:val="474"/>
        </w:trPr>
        <w:tc>
          <w:tcPr>
            <w:tcW w:w="5875" w:type="dxa"/>
            <w:shd w:val="clear" w:color="auto" w:fill="BFBFBF" w:themeFill="background1" w:themeFillShade="BF"/>
            <w:vAlign w:val="center"/>
            <w:hideMark/>
          </w:tcPr>
          <w:p w:rsidR="00C76E73" w:rsidRPr="004321DB" w:rsidRDefault="00C76E73" w:rsidP="001D0484">
            <w:pPr>
              <w:spacing w:after="0"/>
              <w:jc w:val="both"/>
              <w:rPr>
                <w:rFonts w:cs="Arial"/>
                <w:b/>
                <w:bCs/>
                <w:color w:val="000000"/>
                <w:sz w:val="22"/>
                <w:lang w:eastAsia="en-GB"/>
              </w:rPr>
            </w:pPr>
            <w:r w:rsidRPr="004321DB">
              <w:rPr>
                <w:rFonts w:cs="Arial"/>
                <w:b/>
                <w:bCs/>
                <w:color w:val="000000"/>
                <w:sz w:val="22"/>
                <w:lang w:eastAsia="en-GB"/>
              </w:rPr>
              <w:t>Total Resources</w:t>
            </w:r>
          </w:p>
        </w:tc>
        <w:tc>
          <w:tcPr>
            <w:tcW w:w="1775" w:type="dxa"/>
            <w:shd w:val="clear" w:color="auto" w:fill="BFBFBF" w:themeFill="background1" w:themeFillShade="BF"/>
            <w:noWrap/>
            <w:vAlign w:val="center"/>
          </w:tcPr>
          <w:p w:rsidR="00C76E73" w:rsidRPr="004321DB" w:rsidRDefault="00C76E73" w:rsidP="002E382D">
            <w:pPr>
              <w:spacing w:after="0"/>
              <w:jc w:val="right"/>
              <w:rPr>
                <w:rFonts w:cs="Arial"/>
                <w:b/>
                <w:bCs/>
                <w:color w:val="000000"/>
                <w:sz w:val="22"/>
                <w:lang w:eastAsia="en-GB"/>
              </w:rPr>
            </w:pPr>
            <w:r>
              <w:rPr>
                <w:rFonts w:cs="Arial"/>
                <w:b/>
                <w:bCs/>
                <w:color w:val="000000"/>
                <w:sz w:val="22"/>
                <w:lang w:eastAsia="en-GB"/>
              </w:rPr>
              <w:t>711.912</w:t>
            </w:r>
          </w:p>
        </w:tc>
      </w:tr>
    </w:tbl>
    <w:p w:rsidR="004D1948" w:rsidRPr="005A65D5" w:rsidRDefault="004D1948" w:rsidP="001D0484">
      <w:pPr>
        <w:spacing w:after="0"/>
        <w:jc w:val="both"/>
        <w:rPr>
          <w:rFonts w:cs="Arial"/>
          <w:szCs w:val="24"/>
        </w:rPr>
      </w:pPr>
    </w:p>
    <w:p w:rsidR="00E96E42" w:rsidRPr="00252953" w:rsidRDefault="0002062B" w:rsidP="001D0484">
      <w:pPr>
        <w:spacing w:after="0"/>
        <w:jc w:val="both"/>
        <w:rPr>
          <w:rFonts w:cs="Arial"/>
          <w:b/>
          <w:bCs/>
          <w:szCs w:val="24"/>
        </w:rPr>
      </w:pPr>
      <w:r w:rsidRPr="00252953">
        <w:rPr>
          <w:rFonts w:cs="Arial"/>
          <w:b/>
          <w:bCs/>
          <w:szCs w:val="24"/>
        </w:rPr>
        <w:t xml:space="preserve">7. </w:t>
      </w:r>
      <w:r w:rsidR="00E96E42" w:rsidRPr="00252953">
        <w:rPr>
          <w:rFonts w:cs="Arial"/>
          <w:b/>
          <w:bCs/>
          <w:szCs w:val="24"/>
        </w:rPr>
        <w:t>The Capital Investment Programme</w:t>
      </w:r>
      <w:r w:rsidR="0031170D" w:rsidRPr="00252953">
        <w:rPr>
          <w:rFonts w:cs="Arial"/>
          <w:b/>
          <w:bCs/>
          <w:szCs w:val="24"/>
        </w:rPr>
        <w:t xml:space="preserve"> </w:t>
      </w:r>
    </w:p>
    <w:p w:rsidR="00AA35F3" w:rsidRDefault="00AA35F3" w:rsidP="001D0484">
      <w:pPr>
        <w:spacing w:after="0"/>
        <w:jc w:val="both"/>
        <w:rPr>
          <w:rFonts w:cs="Arial"/>
          <w:szCs w:val="24"/>
          <w:highlight w:val="yellow"/>
        </w:rPr>
      </w:pPr>
    </w:p>
    <w:p w:rsidR="00AA35F3" w:rsidRDefault="00AA35F3" w:rsidP="001D0484">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 xml:space="preserve">This </w:t>
      </w:r>
      <w:r>
        <w:rPr>
          <w:rFonts w:eastAsia="Calibri" w:cs="Helvetica-Light"/>
          <w:color w:val="000000"/>
          <w:szCs w:val="24"/>
        </w:rPr>
        <w:t xml:space="preserve">section of the </w:t>
      </w:r>
      <w:r w:rsidRPr="00AA35F3">
        <w:rPr>
          <w:rFonts w:eastAsia="Calibri" w:cs="Helvetica-Light"/>
          <w:color w:val="000000"/>
          <w:szCs w:val="24"/>
        </w:rPr>
        <w:t>report sets out the following:</w:t>
      </w:r>
    </w:p>
    <w:p w:rsidR="00075B93" w:rsidRPr="00AA35F3" w:rsidRDefault="00075B93" w:rsidP="001D0484">
      <w:pPr>
        <w:autoSpaceDE w:val="0"/>
        <w:autoSpaceDN w:val="0"/>
        <w:adjustRightInd w:val="0"/>
        <w:spacing w:after="0"/>
        <w:jc w:val="both"/>
        <w:rPr>
          <w:rFonts w:eastAsia="Calibri" w:cs="Helvetica-Light"/>
          <w:color w:val="000000"/>
          <w:szCs w:val="24"/>
        </w:rPr>
      </w:pPr>
    </w:p>
    <w:p w:rsidR="00AA35F3" w:rsidRDefault="00AA35F3" w:rsidP="001D0484">
      <w:pPr>
        <w:numPr>
          <w:ilvl w:val="0"/>
          <w:numId w:val="7"/>
        </w:numPr>
        <w:autoSpaceDE w:val="0"/>
        <w:autoSpaceDN w:val="0"/>
        <w:adjustRightInd w:val="0"/>
        <w:spacing w:after="0"/>
        <w:ind w:left="284" w:hanging="284"/>
        <w:jc w:val="both"/>
        <w:rPr>
          <w:rFonts w:eastAsia="Calibri" w:cs="Helvetica-Light"/>
          <w:color w:val="000000"/>
          <w:szCs w:val="24"/>
        </w:rPr>
      </w:pPr>
      <w:r w:rsidRPr="00AA35F3">
        <w:rPr>
          <w:rFonts w:eastAsia="Calibri" w:cs="Helvetica-Light"/>
          <w:color w:val="000000"/>
          <w:szCs w:val="24"/>
        </w:rPr>
        <w:t>an outline of the 2016/17 and following two years draft capital programme including known projects and  the effect on the capital programme of a number of Budget Options identified as part of the Cabinet discussions on the 26</w:t>
      </w:r>
      <w:r w:rsidRPr="00AA35F3">
        <w:rPr>
          <w:rFonts w:eastAsia="Calibri" w:cs="Helvetica-Light"/>
          <w:color w:val="000000"/>
          <w:szCs w:val="24"/>
          <w:vertAlign w:val="superscript"/>
        </w:rPr>
        <w:t>th</w:t>
      </w:r>
      <w:r w:rsidRPr="00AA35F3">
        <w:rPr>
          <w:rFonts w:eastAsia="Calibri" w:cs="Helvetica-Light"/>
          <w:color w:val="000000"/>
          <w:szCs w:val="24"/>
        </w:rPr>
        <w:t xml:space="preserve"> November 2015;</w:t>
      </w:r>
    </w:p>
    <w:p w:rsidR="007F16A8" w:rsidRPr="00AA35F3" w:rsidRDefault="007F16A8" w:rsidP="007F16A8">
      <w:pPr>
        <w:autoSpaceDE w:val="0"/>
        <w:autoSpaceDN w:val="0"/>
        <w:adjustRightInd w:val="0"/>
        <w:spacing w:after="0"/>
        <w:jc w:val="both"/>
        <w:rPr>
          <w:rFonts w:eastAsia="Calibri" w:cs="Helvetica-Light"/>
          <w:color w:val="000000"/>
          <w:szCs w:val="24"/>
        </w:rPr>
      </w:pPr>
    </w:p>
    <w:p w:rsidR="00AA35F3" w:rsidRDefault="00AA35F3" w:rsidP="001D0484">
      <w:pPr>
        <w:numPr>
          <w:ilvl w:val="0"/>
          <w:numId w:val="7"/>
        </w:numPr>
        <w:autoSpaceDE w:val="0"/>
        <w:autoSpaceDN w:val="0"/>
        <w:adjustRightInd w:val="0"/>
        <w:spacing w:after="0"/>
        <w:ind w:left="284" w:hanging="284"/>
        <w:jc w:val="both"/>
        <w:rPr>
          <w:rFonts w:eastAsia="Calibri" w:cs="Helvetica-Light"/>
          <w:color w:val="000000"/>
          <w:szCs w:val="24"/>
        </w:rPr>
      </w:pPr>
      <w:r w:rsidRPr="00AA35F3">
        <w:rPr>
          <w:rFonts w:eastAsia="Calibri" w:cs="Helvetica-Light"/>
          <w:color w:val="000000"/>
          <w:szCs w:val="24"/>
        </w:rPr>
        <w:t>summary of the proposed funding of the 2016/17 capital programme and the revenue implications of the increased use of prudential borrowing;</w:t>
      </w:r>
    </w:p>
    <w:p w:rsidR="00AA35F3" w:rsidRPr="00AA35F3" w:rsidRDefault="00AA35F3" w:rsidP="005107A8">
      <w:pPr>
        <w:autoSpaceDE w:val="0"/>
        <w:autoSpaceDN w:val="0"/>
        <w:adjustRightInd w:val="0"/>
        <w:spacing w:after="0"/>
        <w:jc w:val="both"/>
        <w:rPr>
          <w:rFonts w:eastAsia="Calibri" w:cs="Helvetica-Light"/>
          <w:color w:val="000000"/>
          <w:szCs w:val="24"/>
        </w:rPr>
      </w:pPr>
    </w:p>
    <w:p w:rsidR="00AA35F3" w:rsidRPr="00AA35F3" w:rsidRDefault="00AA35F3" w:rsidP="001D0484">
      <w:pPr>
        <w:autoSpaceDE w:val="0"/>
        <w:autoSpaceDN w:val="0"/>
        <w:adjustRightInd w:val="0"/>
        <w:spacing w:after="0"/>
        <w:ind w:right="-24"/>
        <w:jc w:val="both"/>
        <w:rPr>
          <w:rFonts w:eastAsia="Calibri" w:cs="Arial"/>
          <w:szCs w:val="24"/>
        </w:rPr>
      </w:pPr>
      <w:r w:rsidRPr="00AA35F3">
        <w:rPr>
          <w:rFonts w:cs="Helvetica-Light"/>
          <w:szCs w:val="24"/>
        </w:rPr>
        <w:t>Minor updates have been made to the report approved by Cabinet on 21</w:t>
      </w:r>
      <w:r w:rsidRPr="00AA35F3">
        <w:rPr>
          <w:rFonts w:cs="Helvetica-Light"/>
          <w:szCs w:val="24"/>
          <w:vertAlign w:val="superscript"/>
        </w:rPr>
        <w:t>st</w:t>
      </w:r>
      <w:r w:rsidRPr="00AA35F3">
        <w:rPr>
          <w:rFonts w:cs="Helvetica-Light"/>
          <w:szCs w:val="24"/>
        </w:rPr>
        <w:t xml:space="preserve"> January</w:t>
      </w:r>
      <w:r w:rsidR="007F16A8">
        <w:rPr>
          <w:rFonts w:cs="Helvetica-Light"/>
          <w:szCs w:val="24"/>
        </w:rPr>
        <w:t xml:space="preserve"> 2016</w:t>
      </w:r>
      <w:r w:rsidRPr="00AA35F3">
        <w:rPr>
          <w:rFonts w:cs="Helvetica-Light"/>
          <w:szCs w:val="24"/>
        </w:rPr>
        <w:t xml:space="preserve"> which has not materially impacted to borrowing requirement.</w:t>
      </w:r>
      <w:r w:rsidRPr="00AA35F3">
        <w:rPr>
          <w:rFonts w:eastAsia="Calibri" w:cs="Arial"/>
          <w:szCs w:val="24"/>
        </w:rPr>
        <w:t xml:space="preserve"> </w:t>
      </w:r>
    </w:p>
    <w:p w:rsidR="00AA35F3" w:rsidRPr="00AA35F3" w:rsidRDefault="00AA35F3" w:rsidP="007F16A8">
      <w:pPr>
        <w:tabs>
          <w:tab w:val="left" w:pos="851"/>
          <w:tab w:val="left" w:pos="1418"/>
          <w:tab w:val="left" w:pos="1985"/>
          <w:tab w:val="left" w:pos="2268"/>
        </w:tabs>
        <w:autoSpaceDE w:val="0"/>
        <w:autoSpaceDN w:val="0"/>
        <w:adjustRightInd w:val="0"/>
        <w:spacing w:after="0"/>
        <w:jc w:val="both"/>
        <w:rPr>
          <w:rFonts w:eastAsia="Calibri" w:cs="Arial"/>
          <w:color w:val="000000"/>
          <w:szCs w:val="24"/>
        </w:rPr>
      </w:pPr>
    </w:p>
    <w:p w:rsidR="00AA35F3" w:rsidRPr="000167FA" w:rsidRDefault="00C95E4F" w:rsidP="001D0484">
      <w:pPr>
        <w:autoSpaceDE w:val="0"/>
        <w:autoSpaceDN w:val="0"/>
        <w:adjustRightInd w:val="0"/>
        <w:spacing w:after="0"/>
        <w:contextualSpacing/>
        <w:jc w:val="both"/>
        <w:rPr>
          <w:rFonts w:eastAsia="Calibri" w:cs="Helvetica-Light"/>
          <w:i/>
          <w:color w:val="000000"/>
          <w:szCs w:val="24"/>
        </w:rPr>
      </w:pPr>
      <w:r>
        <w:rPr>
          <w:rFonts w:eastAsia="Calibri" w:cs="Helvetica-Light"/>
          <w:i/>
          <w:color w:val="000000"/>
          <w:szCs w:val="24"/>
        </w:rPr>
        <w:t>7.1</w:t>
      </w:r>
      <w:r w:rsidR="000167FA">
        <w:rPr>
          <w:rFonts w:eastAsia="Calibri" w:cs="Helvetica-Light"/>
          <w:i/>
          <w:color w:val="000000"/>
          <w:szCs w:val="24"/>
        </w:rPr>
        <w:t xml:space="preserve"> </w:t>
      </w:r>
      <w:r w:rsidR="00AA35F3" w:rsidRPr="000167FA">
        <w:rPr>
          <w:rFonts w:eastAsia="Calibri" w:cs="Helvetica-Light"/>
          <w:i/>
          <w:color w:val="000000"/>
          <w:szCs w:val="24"/>
        </w:rPr>
        <w:t>Provisional Capital Programme for 2016/17 – 2018/19</w:t>
      </w:r>
    </w:p>
    <w:p w:rsidR="00AA35F3" w:rsidRPr="00AA35F3" w:rsidRDefault="00AA35F3" w:rsidP="001D0484">
      <w:pPr>
        <w:autoSpaceDE w:val="0"/>
        <w:autoSpaceDN w:val="0"/>
        <w:adjustRightInd w:val="0"/>
        <w:spacing w:after="0"/>
        <w:jc w:val="both"/>
        <w:rPr>
          <w:rFonts w:eastAsia="Calibri" w:cs="Helvetica-Light"/>
          <w:b/>
          <w:color w:val="000000"/>
          <w:szCs w:val="24"/>
          <w:u w:val="single"/>
        </w:rPr>
      </w:pPr>
    </w:p>
    <w:p w:rsidR="00AA35F3" w:rsidRDefault="007F16A8" w:rsidP="001D0484">
      <w:pPr>
        <w:autoSpaceDE w:val="0"/>
        <w:autoSpaceDN w:val="0"/>
        <w:adjustRightInd w:val="0"/>
        <w:spacing w:after="0"/>
        <w:jc w:val="both"/>
        <w:rPr>
          <w:rFonts w:eastAsia="Calibri" w:cs="Helvetica-Light"/>
          <w:color w:val="000000"/>
          <w:szCs w:val="24"/>
        </w:rPr>
      </w:pPr>
      <w:r>
        <w:rPr>
          <w:rFonts w:eastAsia="Calibri" w:cs="Helvetica-Light"/>
          <w:color w:val="000000"/>
          <w:szCs w:val="24"/>
        </w:rPr>
        <w:t>Table 11</w:t>
      </w:r>
      <w:r w:rsidR="00AA35F3" w:rsidRPr="00AA35F3">
        <w:rPr>
          <w:rFonts w:eastAsia="Calibri" w:cs="Helvetica-Light"/>
          <w:color w:val="000000"/>
          <w:szCs w:val="24"/>
        </w:rPr>
        <w:t xml:space="preserve"> below details the proposed provisional capital programme for the period 2016/17 to 2018/19.  City Deal is included only where LCC make a direct</w:t>
      </w:r>
      <w:r w:rsidR="001D0484">
        <w:rPr>
          <w:rFonts w:eastAsia="Calibri" w:cs="Helvetica-Light"/>
          <w:color w:val="000000"/>
          <w:szCs w:val="24"/>
        </w:rPr>
        <w:t xml:space="preserve"> contribution to it or where the County Council </w:t>
      </w:r>
      <w:r w:rsidR="00AA35F3" w:rsidRPr="00AA35F3">
        <w:rPr>
          <w:rFonts w:eastAsia="Calibri" w:cs="Helvetica-Light"/>
          <w:color w:val="000000"/>
          <w:szCs w:val="24"/>
        </w:rPr>
        <w:t>is supporting the cash flow requirements of the project in the early years.</w:t>
      </w:r>
    </w:p>
    <w:p w:rsidR="000167FA" w:rsidRPr="00AA35F3" w:rsidRDefault="000167FA" w:rsidP="001D0484">
      <w:pPr>
        <w:autoSpaceDE w:val="0"/>
        <w:autoSpaceDN w:val="0"/>
        <w:adjustRightInd w:val="0"/>
        <w:spacing w:after="0"/>
        <w:jc w:val="both"/>
        <w:rPr>
          <w:rFonts w:eastAsia="Calibri" w:cs="Helvetica-Light"/>
          <w:color w:val="000000"/>
          <w:szCs w:val="24"/>
        </w:rPr>
      </w:pPr>
    </w:p>
    <w:p w:rsidR="00AA35F3" w:rsidRDefault="00AA35F3" w:rsidP="001D0484">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City Deal and other Lancashire Economic Partnership activity is reported separately via the existing LEP reporting and performance framework.  LCC is the accountable body for the LEP.</w:t>
      </w:r>
    </w:p>
    <w:p w:rsidR="005107A8" w:rsidRDefault="005107A8">
      <w:pPr>
        <w:rPr>
          <w:rFonts w:eastAsia="Calibri" w:cs="Helvetica-Light"/>
          <w:color w:val="000000"/>
          <w:szCs w:val="24"/>
        </w:rPr>
      </w:pPr>
      <w:r>
        <w:rPr>
          <w:rFonts w:eastAsia="Calibri" w:cs="Helvetica-Light"/>
          <w:color w:val="000000"/>
          <w:szCs w:val="24"/>
        </w:rPr>
        <w:br w:type="page"/>
      </w:r>
    </w:p>
    <w:p w:rsidR="00AA35F3" w:rsidRPr="000167FA" w:rsidRDefault="00A7763F" w:rsidP="001D0484">
      <w:pPr>
        <w:autoSpaceDE w:val="0"/>
        <w:autoSpaceDN w:val="0"/>
        <w:adjustRightInd w:val="0"/>
        <w:spacing w:after="0"/>
        <w:jc w:val="both"/>
        <w:rPr>
          <w:rFonts w:eastAsia="Calibri" w:cs="Helvetica-Light"/>
          <w:b/>
          <w:color w:val="000000"/>
          <w:szCs w:val="24"/>
        </w:rPr>
      </w:pPr>
      <w:r>
        <w:rPr>
          <w:rFonts w:eastAsia="Calibri" w:cs="Helvetica-Light"/>
          <w:b/>
          <w:color w:val="000000"/>
          <w:szCs w:val="24"/>
        </w:rPr>
        <w:lastRenderedPageBreak/>
        <w:t>Table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1252"/>
        <w:gridCol w:w="1124"/>
        <w:gridCol w:w="1124"/>
        <w:gridCol w:w="1186"/>
      </w:tblGrid>
      <w:tr w:rsidR="00AA35F3" w:rsidRPr="00AA35F3" w:rsidTr="00855D18">
        <w:tc>
          <w:tcPr>
            <w:tcW w:w="4330" w:type="dxa"/>
            <w:shd w:val="clear" w:color="auto" w:fill="BFBFBF" w:themeFill="background1" w:themeFillShade="BF"/>
            <w:vAlign w:val="center"/>
          </w:tcPr>
          <w:p w:rsidR="00AA35F3" w:rsidRPr="00AA35F3" w:rsidRDefault="00AA35F3" w:rsidP="001D0484">
            <w:pPr>
              <w:autoSpaceDE w:val="0"/>
              <w:autoSpaceDN w:val="0"/>
              <w:adjustRightInd w:val="0"/>
              <w:spacing w:after="0"/>
              <w:jc w:val="both"/>
              <w:rPr>
                <w:rFonts w:eastAsia="Calibri" w:cs="Arial"/>
                <w:b/>
                <w:color w:val="000000"/>
                <w:sz w:val="22"/>
              </w:rPr>
            </w:pPr>
            <w:r w:rsidRPr="00AA35F3">
              <w:rPr>
                <w:rFonts w:eastAsia="Calibri" w:cs="Arial"/>
                <w:b/>
                <w:color w:val="000000"/>
                <w:sz w:val="22"/>
              </w:rPr>
              <w:t>Table 3 Provisional Capital Programme</w:t>
            </w:r>
          </w:p>
        </w:tc>
        <w:tc>
          <w:tcPr>
            <w:tcW w:w="1252"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color w:val="000000"/>
                <w:sz w:val="22"/>
              </w:rPr>
            </w:pPr>
            <w:r w:rsidRPr="00AA35F3">
              <w:rPr>
                <w:rFonts w:eastAsia="Calibri" w:cs="Arial"/>
                <w:b/>
                <w:color w:val="000000"/>
                <w:sz w:val="22"/>
              </w:rPr>
              <w:t>2016/17 £m</w:t>
            </w: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color w:val="000000"/>
                <w:sz w:val="22"/>
              </w:rPr>
            </w:pPr>
            <w:r w:rsidRPr="00AA35F3">
              <w:rPr>
                <w:rFonts w:eastAsia="Calibri" w:cs="Arial"/>
                <w:b/>
                <w:color w:val="000000"/>
                <w:sz w:val="22"/>
              </w:rPr>
              <w:t>2017/18 £m</w:t>
            </w: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color w:val="000000"/>
                <w:sz w:val="22"/>
              </w:rPr>
            </w:pPr>
            <w:r w:rsidRPr="00AA35F3">
              <w:rPr>
                <w:rFonts w:eastAsia="Calibri" w:cs="Arial"/>
                <w:b/>
                <w:color w:val="000000"/>
                <w:sz w:val="22"/>
              </w:rPr>
              <w:t>2018/19 £m</w:t>
            </w:r>
          </w:p>
        </w:tc>
        <w:tc>
          <w:tcPr>
            <w:tcW w:w="1186"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color w:val="000000"/>
                <w:sz w:val="22"/>
              </w:rPr>
            </w:pPr>
            <w:r w:rsidRPr="00AA35F3">
              <w:rPr>
                <w:rFonts w:eastAsia="Calibri" w:cs="Arial"/>
                <w:b/>
                <w:color w:val="000000"/>
                <w:sz w:val="22"/>
              </w:rPr>
              <w:t>Total</w:t>
            </w:r>
          </w:p>
          <w:p w:rsidR="00AA35F3" w:rsidRPr="00AA35F3" w:rsidRDefault="00AA35F3" w:rsidP="001D0484">
            <w:pPr>
              <w:autoSpaceDE w:val="0"/>
              <w:autoSpaceDN w:val="0"/>
              <w:adjustRightInd w:val="0"/>
              <w:spacing w:after="0"/>
              <w:jc w:val="center"/>
              <w:rPr>
                <w:rFonts w:eastAsia="Calibri" w:cs="Arial"/>
                <w:b/>
                <w:color w:val="000000"/>
                <w:sz w:val="22"/>
              </w:rPr>
            </w:pPr>
            <w:r w:rsidRPr="00AA35F3">
              <w:rPr>
                <w:rFonts w:eastAsia="Calibri" w:cs="Arial"/>
                <w:b/>
                <w:color w:val="000000"/>
                <w:sz w:val="22"/>
              </w:rPr>
              <w:t>£m</w:t>
            </w:r>
          </w:p>
        </w:tc>
      </w:tr>
      <w:tr w:rsidR="00AA35F3" w:rsidRPr="00AA35F3" w:rsidTr="00855D18">
        <w:trPr>
          <w:trHeight w:val="539"/>
        </w:trPr>
        <w:tc>
          <w:tcPr>
            <w:tcW w:w="4330" w:type="dxa"/>
            <w:shd w:val="clear" w:color="auto" w:fill="BFBFBF" w:themeFill="background1" w:themeFillShade="BF"/>
            <w:vAlign w:val="center"/>
          </w:tcPr>
          <w:p w:rsidR="00AA35F3" w:rsidRPr="00075B93" w:rsidRDefault="00AA35F3" w:rsidP="001D0484">
            <w:pPr>
              <w:autoSpaceDE w:val="0"/>
              <w:autoSpaceDN w:val="0"/>
              <w:adjustRightInd w:val="0"/>
              <w:spacing w:after="0"/>
              <w:jc w:val="both"/>
              <w:rPr>
                <w:rFonts w:eastAsia="Calibri" w:cs="Arial"/>
                <w:b/>
                <w:color w:val="000000"/>
                <w:sz w:val="22"/>
              </w:rPr>
            </w:pPr>
            <w:r w:rsidRPr="00075B93">
              <w:rPr>
                <w:rFonts w:eastAsia="Calibri" w:cs="Arial"/>
                <w:b/>
                <w:color w:val="000000"/>
                <w:sz w:val="22"/>
              </w:rPr>
              <w:t>Programme approved February 2015</w:t>
            </w:r>
          </w:p>
        </w:tc>
        <w:tc>
          <w:tcPr>
            <w:tcW w:w="1252" w:type="dxa"/>
            <w:shd w:val="clear" w:color="auto" w:fill="BFBFBF" w:themeFill="background1" w:themeFillShade="BF"/>
            <w:vAlign w:val="center"/>
          </w:tcPr>
          <w:p w:rsidR="00AA35F3" w:rsidRPr="00AA35F3" w:rsidRDefault="00AA35F3" w:rsidP="001D0484">
            <w:pPr>
              <w:autoSpaceDE w:val="0"/>
              <w:autoSpaceDN w:val="0"/>
              <w:adjustRightInd w:val="0"/>
              <w:spacing w:after="0"/>
              <w:jc w:val="both"/>
              <w:rPr>
                <w:rFonts w:eastAsia="Calibri" w:cs="Arial"/>
                <w:b/>
                <w:color w:val="000000"/>
                <w:sz w:val="22"/>
              </w:rPr>
            </w:pP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0"/>
              <w:jc w:val="both"/>
              <w:rPr>
                <w:rFonts w:eastAsia="Calibri" w:cs="Arial"/>
                <w:b/>
                <w:color w:val="000000"/>
                <w:sz w:val="22"/>
              </w:rPr>
            </w:pP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0"/>
              <w:jc w:val="both"/>
              <w:rPr>
                <w:rFonts w:eastAsia="Calibri" w:cs="Arial"/>
                <w:b/>
                <w:color w:val="000000"/>
                <w:sz w:val="22"/>
              </w:rPr>
            </w:pPr>
          </w:p>
        </w:tc>
        <w:tc>
          <w:tcPr>
            <w:tcW w:w="1186" w:type="dxa"/>
            <w:shd w:val="clear" w:color="auto" w:fill="BFBFBF" w:themeFill="background1" w:themeFillShade="BF"/>
            <w:vAlign w:val="center"/>
          </w:tcPr>
          <w:p w:rsidR="00AA35F3" w:rsidRPr="00AA35F3" w:rsidRDefault="00AA35F3" w:rsidP="001D0484">
            <w:pPr>
              <w:autoSpaceDE w:val="0"/>
              <w:autoSpaceDN w:val="0"/>
              <w:adjustRightInd w:val="0"/>
              <w:spacing w:after="0"/>
              <w:jc w:val="both"/>
              <w:rPr>
                <w:rFonts w:eastAsia="Calibri" w:cs="Arial"/>
                <w:b/>
                <w:color w:val="000000"/>
                <w:sz w:val="22"/>
              </w:rPr>
            </w:pPr>
          </w:p>
        </w:tc>
      </w:tr>
      <w:tr w:rsidR="00AA35F3" w:rsidRPr="00AA35F3" w:rsidTr="00855D18">
        <w:trPr>
          <w:trHeight w:val="689"/>
        </w:trPr>
        <w:tc>
          <w:tcPr>
            <w:tcW w:w="4330" w:type="dxa"/>
            <w:shd w:val="clear" w:color="auto" w:fill="BFBFBF" w:themeFill="background1" w:themeFillShade="BF"/>
            <w:vAlign w:val="center"/>
          </w:tcPr>
          <w:p w:rsidR="00AA35F3" w:rsidRPr="000167FA" w:rsidRDefault="00075B93" w:rsidP="001D0484">
            <w:pPr>
              <w:autoSpaceDE w:val="0"/>
              <w:autoSpaceDN w:val="0"/>
              <w:adjustRightInd w:val="0"/>
              <w:spacing w:after="0"/>
              <w:jc w:val="both"/>
              <w:rPr>
                <w:rFonts w:eastAsia="Calibri" w:cs="Arial"/>
                <w:b/>
                <w:color w:val="000000"/>
                <w:sz w:val="22"/>
              </w:rPr>
            </w:pPr>
            <w:r>
              <w:rPr>
                <w:rFonts w:eastAsia="Calibri" w:cs="Arial"/>
                <w:b/>
                <w:color w:val="000000"/>
                <w:sz w:val="22"/>
              </w:rPr>
              <w:t xml:space="preserve">a) </w:t>
            </w:r>
            <w:r w:rsidR="00AA35F3" w:rsidRPr="00AA35F3">
              <w:rPr>
                <w:rFonts w:eastAsia="Calibri" w:cs="Arial"/>
                <w:b/>
                <w:color w:val="000000"/>
                <w:sz w:val="22"/>
              </w:rPr>
              <w:t>2015/16 and Prior Year Starts projects forecast requirement</w:t>
            </w:r>
          </w:p>
        </w:tc>
        <w:tc>
          <w:tcPr>
            <w:tcW w:w="1252" w:type="dxa"/>
            <w:shd w:val="clear" w:color="auto" w:fill="BFBFBF" w:themeFill="background1" w:themeFillShade="BF"/>
            <w:vAlign w:val="center"/>
          </w:tcPr>
          <w:p w:rsidR="00AA35F3" w:rsidRPr="00AA35F3" w:rsidRDefault="00AA35F3" w:rsidP="001D0484">
            <w:pPr>
              <w:autoSpaceDE w:val="0"/>
              <w:autoSpaceDN w:val="0"/>
              <w:adjustRightInd w:val="0"/>
              <w:spacing w:after="120"/>
              <w:jc w:val="both"/>
              <w:rPr>
                <w:rFonts w:eastAsia="Calibri" w:cs="Arial"/>
                <w:b/>
                <w:color w:val="000000"/>
                <w:sz w:val="22"/>
                <w:highlight w:val="yellow"/>
              </w:rPr>
            </w:pP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120"/>
              <w:jc w:val="both"/>
              <w:rPr>
                <w:rFonts w:eastAsia="Calibri" w:cs="Arial"/>
                <w:b/>
                <w:color w:val="000000"/>
                <w:sz w:val="22"/>
                <w:highlight w:val="yellow"/>
              </w:rPr>
            </w:pP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120"/>
              <w:jc w:val="both"/>
              <w:rPr>
                <w:rFonts w:eastAsia="Calibri" w:cs="Arial"/>
                <w:b/>
                <w:color w:val="000000"/>
                <w:sz w:val="22"/>
                <w:highlight w:val="yellow"/>
              </w:rPr>
            </w:pPr>
          </w:p>
        </w:tc>
        <w:tc>
          <w:tcPr>
            <w:tcW w:w="1186" w:type="dxa"/>
            <w:shd w:val="clear" w:color="auto" w:fill="BFBFBF" w:themeFill="background1" w:themeFillShade="BF"/>
            <w:vAlign w:val="center"/>
          </w:tcPr>
          <w:p w:rsidR="00AA35F3" w:rsidRPr="00AA35F3" w:rsidRDefault="00AA35F3" w:rsidP="001D0484">
            <w:pPr>
              <w:autoSpaceDE w:val="0"/>
              <w:autoSpaceDN w:val="0"/>
              <w:adjustRightInd w:val="0"/>
              <w:spacing w:after="120"/>
              <w:jc w:val="both"/>
              <w:rPr>
                <w:rFonts w:eastAsia="Calibri" w:cs="Arial"/>
                <w:b/>
                <w:color w:val="000000"/>
                <w:sz w:val="22"/>
                <w:highlight w:val="yellow"/>
              </w:rPr>
            </w:pPr>
          </w:p>
        </w:tc>
      </w:tr>
      <w:tr w:rsidR="00AA35F3" w:rsidRPr="00AA35F3" w:rsidTr="007F16A8">
        <w:trPr>
          <w:trHeight w:val="517"/>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sz w:val="22"/>
              </w:rPr>
            </w:pPr>
            <w:r w:rsidRPr="00AA35F3">
              <w:rPr>
                <w:rFonts w:eastAsia="Calibri" w:cs="Arial"/>
                <w:bCs/>
                <w:sz w:val="22"/>
              </w:rPr>
              <w:t xml:space="preserve">East </w:t>
            </w:r>
            <w:proofErr w:type="spellStart"/>
            <w:r w:rsidRPr="00AA35F3">
              <w:rPr>
                <w:rFonts w:eastAsia="Calibri" w:cs="Arial"/>
                <w:bCs/>
                <w:sz w:val="22"/>
              </w:rPr>
              <w:t>Lancs</w:t>
            </w:r>
            <w:proofErr w:type="spellEnd"/>
            <w:r w:rsidRPr="00AA35F3">
              <w:rPr>
                <w:rFonts w:eastAsia="Calibri" w:cs="Arial"/>
                <w:bCs/>
                <w:sz w:val="22"/>
              </w:rPr>
              <w:t xml:space="preserve"> Strategic Cycle Network</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r w:rsidRPr="00AA35F3">
              <w:rPr>
                <w:rFonts w:eastAsia="Calibri" w:cs="Arial"/>
                <w:bCs/>
                <w:sz w:val="22"/>
              </w:rPr>
              <w:t>0.800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r w:rsidRPr="00AA35F3">
              <w:rPr>
                <w:rFonts w:eastAsia="Calibri" w:cs="Arial"/>
                <w:bCs/>
                <w:sz w:val="22"/>
              </w:rPr>
              <w:t>0.500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sz w:val="22"/>
              </w:rPr>
            </w:pPr>
            <w:r w:rsidRPr="00075B93">
              <w:rPr>
                <w:rFonts w:eastAsia="Calibri" w:cs="Arial"/>
                <w:b/>
                <w:bCs/>
                <w:sz w:val="22"/>
              </w:rPr>
              <w:t>1.300</w:t>
            </w:r>
          </w:p>
        </w:tc>
      </w:tr>
      <w:tr w:rsidR="00AA35F3" w:rsidRPr="00AA35F3" w:rsidTr="007F16A8">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sz w:val="22"/>
              </w:rPr>
            </w:pPr>
            <w:r w:rsidRPr="00AA35F3">
              <w:rPr>
                <w:rFonts w:eastAsia="Calibri" w:cs="Arial"/>
                <w:bCs/>
                <w:sz w:val="22"/>
              </w:rPr>
              <w:t>North Valley Road traffic model and business case</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r w:rsidRPr="00AA35F3">
              <w:rPr>
                <w:rFonts w:eastAsia="Calibri" w:cs="Arial"/>
                <w:bCs/>
                <w:sz w:val="22"/>
              </w:rPr>
              <w:t>0.500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r w:rsidRPr="00AA35F3">
              <w:rPr>
                <w:rFonts w:eastAsia="Calibri" w:cs="Arial"/>
                <w:bCs/>
                <w:sz w:val="22"/>
              </w:rPr>
              <w:t>0.500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sz w:val="22"/>
              </w:rPr>
            </w:pPr>
            <w:r w:rsidRPr="00075B93">
              <w:rPr>
                <w:rFonts w:eastAsia="Calibri" w:cs="Arial"/>
                <w:b/>
                <w:bCs/>
                <w:sz w:val="22"/>
              </w:rPr>
              <w:t>1.000</w:t>
            </w:r>
          </w:p>
        </w:tc>
      </w:tr>
      <w:tr w:rsidR="00AA35F3" w:rsidRPr="00AA35F3" w:rsidTr="007F16A8">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sz w:val="22"/>
              </w:rPr>
            </w:pPr>
            <w:r w:rsidRPr="00AA35F3">
              <w:rPr>
                <w:rFonts w:eastAsia="Calibri" w:cs="Arial"/>
                <w:bCs/>
                <w:sz w:val="22"/>
              </w:rPr>
              <w:t>Ormskirk Town Centre/ A570 Congestion Relief</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r w:rsidRPr="00AA35F3">
              <w:rPr>
                <w:rFonts w:eastAsia="Calibri" w:cs="Arial"/>
                <w:bCs/>
                <w:sz w:val="22"/>
              </w:rPr>
              <w:t>0.375</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r w:rsidRPr="00AA35F3">
              <w:rPr>
                <w:rFonts w:eastAsia="Calibri" w:cs="Arial"/>
                <w:bCs/>
                <w:sz w:val="22"/>
              </w:rPr>
              <w:t>0.500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sz w:val="22"/>
              </w:rPr>
            </w:pPr>
            <w:r w:rsidRPr="00075B93">
              <w:rPr>
                <w:rFonts w:eastAsia="Calibri" w:cs="Arial"/>
                <w:b/>
                <w:bCs/>
                <w:sz w:val="22"/>
              </w:rPr>
              <w:t>0.875</w:t>
            </w:r>
          </w:p>
        </w:tc>
      </w:tr>
      <w:tr w:rsidR="00AA35F3" w:rsidRPr="00AA35F3" w:rsidTr="007F16A8">
        <w:trPr>
          <w:trHeight w:val="513"/>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Street Lighting Challenge Fund project</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4.800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color w:val="000000"/>
                <w:sz w:val="22"/>
              </w:rPr>
            </w:pPr>
            <w:r w:rsidRPr="00075B93">
              <w:rPr>
                <w:rFonts w:eastAsia="Calibri" w:cs="Arial"/>
                <w:b/>
                <w:bCs/>
                <w:color w:val="000000"/>
                <w:sz w:val="22"/>
              </w:rPr>
              <w:t>9.800</w:t>
            </w:r>
          </w:p>
        </w:tc>
      </w:tr>
      <w:tr w:rsidR="00AA35F3" w:rsidRPr="00AA35F3" w:rsidTr="007F16A8">
        <w:trPr>
          <w:trHeight w:val="563"/>
        </w:trPr>
        <w:tc>
          <w:tcPr>
            <w:tcW w:w="4330"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Non highways structures</w:t>
            </w:r>
          </w:p>
        </w:tc>
        <w:tc>
          <w:tcPr>
            <w:tcW w:w="1252"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0.110</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0.050</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color w:val="000000"/>
                <w:sz w:val="22"/>
              </w:rPr>
            </w:pPr>
            <w:r w:rsidRPr="00075B93">
              <w:rPr>
                <w:rFonts w:eastAsia="Calibri" w:cs="Arial"/>
                <w:b/>
                <w:bCs/>
                <w:color w:val="000000"/>
                <w:sz w:val="22"/>
              </w:rPr>
              <w:t>0.160</w:t>
            </w:r>
          </w:p>
        </w:tc>
      </w:tr>
      <w:tr w:rsidR="00AA35F3" w:rsidRPr="00AA35F3" w:rsidTr="007F16A8">
        <w:trPr>
          <w:trHeight w:val="557"/>
        </w:trPr>
        <w:tc>
          <w:tcPr>
            <w:tcW w:w="4330"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Burnley Town Centre</w:t>
            </w:r>
          </w:p>
        </w:tc>
        <w:tc>
          <w:tcPr>
            <w:tcW w:w="1252"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0.700</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0.550</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color w:val="000000"/>
                <w:sz w:val="22"/>
              </w:rPr>
            </w:pPr>
            <w:r w:rsidRPr="00075B93">
              <w:rPr>
                <w:rFonts w:eastAsia="Calibri" w:cs="Arial"/>
                <w:b/>
                <w:bCs/>
                <w:color w:val="000000"/>
                <w:sz w:val="22"/>
              </w:rPr>
              <w:t>1.250</w:t>
            </w:r>
          </w:p>
        </w:tc>
      </w:tr>
      <w:tr w:rsidR="00AA35F3" w:rsidRPr="00AA35F3" w:rsidTr="007F16A8">
        <w:trPr>
          <w:trHeight w:val="551"/>
        </w:trPr>
        <w:tc>
          <w:tcPr>
            <w:tcW w:w="4330"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Fire Suppression systems at Waste plants</w:t>
            </w:r>
          </w:p>
        </w:tc>
        <w:tc>
          <w:tcPr>
            <w:tcW w:w="1252"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1.500</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2.000</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color w:val="000000"/>
                <w:sz w:val="22"/>
              </w:rPr>
            </w:pPr>
            <w:r w:rsidRPr="00075B93">
              <w:rPr>
                <w:rFonts w:eastAsia="Calibri" w:cs="Arial"/>
                <w:b/>
                <w:bCs/>
                <w:color w:val="000000"/>
                <w:sz w:val="22"/>
              </w:rPr>
              <w:t>3.500</w:t>
            </w:r>
          </w:p>
        </w:tc>
      </w:tr>
      <w:tr w:rsidR="00AA35F3" w:rsidRPr="00AA35F3" w:rsidTr="007F16A8">
        <w:trPr>
          <w:trHeight w:val="559"/>
        </w:trPr>
        <w:tc>
          <w:tcPr>
            <w:tcW w:w="4330" w:type="dxa"/>
            <w:tcBorders>
              <w:top w:val="nil"/>
              <w:left w:val="single" w:sz="4" w:space="0" w:color="auto"/>
              <w:bottom w:val="single" w:sz="4" w:space="0" w:color="auto"/>
              <w:right w:val="single" w:sz="4" w:space="0" w:color="auto"/>
            </w:tcBorders>
            <w:shd w:val="clear" w:color="auto" w:fill="auto"/>
            <w:vAlign w:val="center"/>
          </w:tcPr>
          <w:p w:rsidR="00075B9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Waste transfer station (East)</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0.500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7.307</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color w:val="000000"/>
                <w:sz w:val="22"/>
              </w:rPr>
            </w:pPr>
            <w:r w:rsidRPr="00075B93">
              <w:rPr>
                <w:rFonts w:eastAsia="Calibri" w:cs="Arial"/>
                <w:b/>
                <w:bCs/>
                <w:color w:val="000000"/>
                <w:sz w:val="22"/>
              </w:rPr>
              <w:t>7.807</w:t>
            </w:r>
          </w:p>
        </w:tc>
      </w:tr>
      <w:tr w:rsidR="00AA35F3" w:rsidRPr="00AA35F3" w:rsidTr="007F16A8">
        <w:trPr>
          <w:trHeight w:val="904"/>
        </w:trPr>
        <w:tc>
          <w:tcPr>
            <w:tcW w:w="4330"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 xml:space="preserve">Adult </w:t>
            </w:r>
            <w:r w:rsidRPr="000167FA">
              <w:rPr>
                <w:rFonts w:eastAsia="Calibri" w:cs="Arial"/>
                <w:bCs/>
                <w:color w:val="000000"/>
                <w:sz w:val="22"/>
              </w:rPr>
              <w:t>(of which 5.967m in 2016/17 relates to Extra Care Strategy, only £5.573m of which has not yet been programmed)</w:t>
            </w:r>
          </w:p>
        </w:tc>
        <w:tc>
          <w:tcPr>
            <w:tcW w:w="1252"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6.787</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0.213</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color w:val="000000"/>
                <w:sz w:val="22"/>
              </w:rPr>
            </w:pPr>
            <w:r w:rsidRPr="00075B93">
              <w:rPr>
                <w:rFonts w:eastAsia="Calibri" w:cs="Arial"/>
                <w:b/>
                <w:bCs/>
                <w:color w:val="000000"/>
                <w:sz w:val="22"/>
              </w:rPr>
              <w:t>7.000</w:t>
            </w:r>
          </w:p>
        </w:tc>
      </w:tr>
      <w:tr w:rsidR="00AA35F3" w:rsidRPr="00AA35F3" w:rsidTr="007F16A8">
        <w:trPr>
          <w:trHeight w:val="494"/>
        </w:trPr>
        <w:tc>
          <w:tcPr>
            <w:tcW w:w="4330"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Corporate</w:t>
            </w:r>
          </w:p>
        </w:tc>
        <w:tc>
          <w:tcPr>
            <w:tcW w:w="1252"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0.129</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r w:rsidRPr="00AA35F3">
              <w:rPr>
                <w:rFonts w:eastAsia="Calibri" w:cs="Arial"/>
                <w:bCs/>
                <w:sz w:val="22"/>
              </w:rPr>
              <w:t>1.333</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sz w:val="22"/>
              </w:rPr>
            </w:pPr>
            <w:r w:rsidRPr="00075B93">
              <w:rPr>
                <w:rFonts w:eastAsia="Calibri" w:cs="Arial"/>
                <w:b/>
                <w:bCs/>
                <w:sz w:val="22"/>
              </w:rPr>
              <w:t>1.462</w:t>
            </w:r>
          </w:p>
        </w:tc>
      </w:tr>
      <w:tr w:rsidR="00AA35F3" w:rsidRPr="00AA35F3" w:rsidTr="007F16A8">
        <w:trPr>
          <w:trHeight w:val="572"/>
        </w:trPr>
        <w:tc>
          <w:tcPr>
            <w:tcW w:w="4330"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Vehicles</w:t>
            </w:r>
          </w:p>
        </w:tc>
        <w:tc>
          <w:tcPr>
            <w:tcW w:w="1252"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2.850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2.850</w:t>
            </w:r>
          </w:p>
        </w:tc>
        <w:tc>
          <w:tcPr>
            <w:tcW w:w="1124" w:type="dxa"/>
            <w:tcBorders>
              <w:top w:val="nil"/>
              <w:left w:val="single" w:sz="4" w:space="0" w:color="auto"/>
              <w:bottom w:val="single" w:sz="4" w:space="0" w:color="auto"/>
              <w:right w:val="nil"/>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nil"/>
              <w:left w:val="single" w:sz="4" w:space="0" w:color="auto"/>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color w:val="000000"/>
                <w:sz w:val="22"/>
              </w:rPr>
            </w:pPr>
            <w:r w:rsidRPr="00075B93">
              <w:rPr>
                <w:rFonts w:eastAsia="Calibri" w:cs="Arial"/>
                <w:b/>
                <w:bCs/>
                <w:color w:val="000000"/>
                <w:sz w:val="22"/>
              </w:rPr>
              <w:t>5.700</w:t>
            </w:r>
          </w:p>
        </w:tc>
      </w:tr>
      <w:tr w:rsidR="00AA35F3" w:rsidRPr="00AA35F3" w:rsidTr="007F16A8">
        <w:trPr>
          <w:trHeight w:val="552"/>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 xml:space="preserve">Schools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4.346</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3.580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color w:val="000000"/>
                <w:sz w:val="22"/>
              </w:rPr>
            </w:pPr>
            <w:r w:rsidRPr="00075B93">
              <w:rPr>
                <w:rFonts w:eastAsia="Calibri" w:cs="Arial"/>
                <w:b/>
                <w:bCs/>
                <w:color w:val="000000"/>
                <w:sz w:val="22"/>
              </w:rPr>
              <w:t>7.926</w:t>
            </w:r>
          </w:p>
        </w:tc>
      </w:tr>
      <w:tr w:rsidR="00AA35F3" w:rsidRPr="00AA35F3" w:rsidTr="007F16A8">
        <w:trPr>
          <w:trHeight w:val="442"/>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color w:val="000000"/>
                <w:sz w:val="22"/>
              </w:rPr>
            </w:pPr>
            <w:r w:rsidRPr="00AA35F3">
              <w:rPr>
                <w:rFonts w:eastAsia="Calibri" w:cs="Arial"/>
                <w:color w:val="000000"/>
                <w:sz w:val="22"/>
              </w:rPr>
              <w:t>CYP non schools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3.225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0.002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075B93" w:rsidRDefault="00AA35F3" w:rsidP="001D0484">
            <w:pPr>
              <w:autoSpaceDE w:val="0"/>
              <w:autoSpaceDN w:val="0"/>
              <w:adjustRightInd w:val="0"/>
              <w:spacing w:after="0"/>
              <w:jc w:val="center"/>
              <w:rPr>
                <w:rFonts w:eastAsia="Calibri" w:cs="Arial"/>
                <w:b/>
                <w:bCs/>
                <w:color w:val="000000"/>
                <w:sz w:val="22"/>
              </w:rPr>
            </w:pPr>
            <w:r w:rsidRPr="00075B93">
              <w:rPr>
                <w:rFonts w:eastAsia="Calibri" w:cs="Arial"/>
                <w:b/>
                <w:bCs/>
                <w:color w:val="000000"/>
                <w:sz w:val="22"/>
              </w:rPr>
              <w:t>3.227</w:t>
            </w:r>
          </w:p>
        </w:tc>
      </w:tr>
      <w:tr w:rsidR="00AA35F3" w:rsidRPr="00AA35F3" w:rsidTr="007F16A8">
        <w:trPr>
          <w:trHeight w:val="666"/>
        </w:trPr>
        <w:tc>
          <w:tcPr>
            <w:tcW w:w="4330" w:type="dxa"/>
            <w:shd w:val="clear" w:color="auto" w:fill="BFBFBF" w:themeFill="background1" w:themeFillShade="BF"/>
            <w:vAlign w:val="center"/>
          </w:tcPr>
          <w:p w:rsidR="00AA35F3" w:rsidRPr="00AA35F3" w:rsidRDefault="00075B93" w:rsidP="001D0484">
            <w:pPr>
              <w:autoSpaceDE w:val="0"/>
              <w:autoSpaceDN w:val="0"/>
              <w:adjustRightInd w:val="0"/>
              <w:spacing w:after="0"/>
              <w:jc w:val="both"/>
              <w:rPr>
                <w:rFonts w:eastAsia="Calibri" w:cs="Arial"/>
                <w:b/>
                <w:color w:val="000000"/>
                <w:sz w:val="22"/>
              </w:rPr>
            </w:pPr>
            <w:r>
              <w:rPr>
                <w:rFonts w:eastAsia="Calibri" w:cs="Arial"/>
                <w:b/>
                <w:color w:val="000000"/>
                <w:sz w:val="22"/>
              </w:rPr>
              <w:t xml:space="preserve">b) </w:t>
            </w:r>
            <w:r w:rsidR="00AA35F3" w:rsidRPr="00AA35F3">
              <w:rPr>
                <w:rFonts w:eastAsia="Calibri" w:cs="Arial"/>
                <w:b/>
                <w:color w:val="000000"/>
                <w:sz w:val="22"/>
              </w:rPr>
              <w:t xml:space="preserve">Removal of </w:t>
            </w:r>
            <w:proofErr w:type="spellStart"/>
            <w:r w:rsidR="00AA35F3" w:rsidRPr="00AA35F3">
              <w:rPr>
                <w:rFonts w:eastAsia="Calibri" w:cs="Arial"/>
                <w:b/>
                <w:color w:val="000000"/>
                <w:sz w:val="22"/>
              </w:rPr>
              <w:t>unprogramme</w:t>
            </w:r>
            <w:r w:rsidR="005107A8">
              <w:rPr>
                <w:rFonts w:eastAsia="Calibri" w:cs="Arial"/>
                <w:b/>
                <w:color w:val="000000"/>
                <w:sz w:val="22"/>
              </w:rPr>
              <w:t>d</w:t>
            </w:r>
            <w:proofErr w:type="spellEnd"/>
            <w:r w:rsidR="005107A8">
              <w:rPr>
                <w:rFonts w:eastAsia="Calibri" w:cs="Arial"/>
                <w:b/>
                <w:color w:val="000000"/>
                <w:sz w:val="22"/>
              </w:rPr>
              <w:t xml:space="preserve"> budgets</w:t>
            </w:r>
          </w:p>
        </w:tc>
        <w:tc>
          <w:tcPr>
            <w:tcW w:w="1252"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color w:val="000000"/>
                <w:sz w:val="22"/>
              </w:rPr>
            </w:pP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color w:val="000000"/>
                <w:sz w:val="22"/>
              </w:rPr>
            </w:pP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color w:val="000000"/>
                <w:sz w:val="22"/>
              </w:rPr>
            </w:pPr>
          </w:p>
        </w:tc>
        <w:tc>
          <w:tcPr>
            <w:tcW w:w="1186" w:type="dxa"/>
            <w:shd w:val="clear" w:color="auto" w:fill="BFBFBF" w:themeFill="background1" w:themeFillShade="BF"/>
            <w:vAlign w:val="center"/>
          </w:tcPr>
          <w:p w:rsidR="00AA35F3" w:rsidRPr="00075B93" w:rsidRDefault="00AA35F3" w:rsidP="001D0484">
            <w:pPr>
              <w:autoSpaceDE w:val="0"/>
              <w:autoSpaceDN w:val="0"/>
              <w:adjustRightInd w:val="0"/>
              <w:spacing w:after="0"/>
              <w:jc w:val="center"/>
              <w:rPr>
                <w:rFonts w:eastAsia="Calibri" w:cs="Arial"/>
                <w:b/>
                <w:color w:val="000000"/>
                <w:sz w:val="22"/>
              </w:rPr>
            </w:pPr>
          </w:p>
        </w:tc>
      </w:tr>
      <w:tr w:rsidR="00AA35F3" w:rsidRPr="00AA35F3" w:rsidTr="007F16A8">
        <w:trPr>
          <w:trHeight w:val="646"/>
        </w:trPr>
        <w:tc>
          <w:tcPr>
            <w:tcW w:w="4330" w:type="dxa"/>
            <w:shd w:val="clear" w:color="auto" w:fill="auto"/>
            <w:vAlign w:val="center"/>
          </w:tcPr>
          <w:p w:rsidR="00AA35F3" w:rsidRPr="00AA35F3" w:rsidRDefault="00AA35F3" w:rsidP="001D0484">
            <w:pPr>
              <w:autoSpaceDE w:val="0"/>
              <w:autoSpaceDN w:val="0"/>
              <w:adjustRightInd w:val="0"/>
              <w:spacing w:after="0"/>
              <w:jc w:val="both"/>
              <w:rPr>
                <w:rFonts w:eastAsia="Calibri" w:cs="Arial"/>
                <w:color w:val="000000"/>
                <w:sz w:val="22"/>
              </w:rPr>
            </w:pPr>
            <w:r w:rsidRPr="00AA35F3">
              <w:rPr>
                <w:rFonts w:eastAsia="Calibri" w:cs="Arial"/>
                <w:color w:val="000000"/>
                <w:sz w:val="22"/>
              </w:rPr>
              <w:t>Waste transfer station (East)</w:t>
            </w:r>
          </w:p>
        </w:tc>
        <w:tc>
          <w:tcPr>
            <w:tcW w:w="1252" w:type="dxa"/>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p>
        </w:tc>
        <w:tc>
          <w:tcPr>
            <w:tcW w:w="1124" w:type="dxa"/>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r w:rsidRPr="00AA35F3">
              <w:rPr>
                <w:rFonts w:eastAsia="Calibri" w:cs="Arial"/>
                <w:color w:val="000000"/>
                <w:sz w:val="22"/>
              </w:rPr>
              <w:t>(7.307)</w:t>
            </w:r>
          </w:p>
        </w:tc>
        <w:tc>
          <w:tcPr>
            <w:tcW w:w="1124" w:type="dxa"/>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p>
        </w:tc>
        <w:tc>
          <w:tcPr>
            <w:tcW w:w="1186" w:type="dxa"/>
            <w:shd w:val="clear" w:color="auto" w:fill="auto"/>
            <w:vAlign w:val="center"/>
          </w:tcPr>
          <w:p w:rsidR="00AA35F3" w:rsidRPr="00075B93" w:rsidRDefault="00AA35F3" w:rsidP="001D0484">
            <w:pPr>
              <w:autoSpaceDE w:val="0"/>
              <w:autoSpaceDN w:val="0"/>
              <w:adjustRightInd w:val="0"/>
              <w:spacing w:after="0"/>
              <w:jc w:val="center"/>
              <w:rPr>
                <w:rFonts w:eastAsia="Calibri" w:cs="Arial"/>
                <w:b/>
                <w:color w:val="000000"/>
                <w:sz w:val="22"/>
              </w:rPr>
            </w:pPr>
            <w:r w:rsidRPr="00075B93">
              <w:rPr>
                <w:rFonts w:eastAsia="Calibri" w:cs="Arial"/>
                <w:b/>
                <w:color w:val="000000"/>
                <w:sz w:val="22"/>
              </w:rPr>
              <w:t>(7.307)</w:t>
            </w:r>
          </w:p>
        </w:tc>
      </w:tr>
      <w:tr w:rsidR="00AA35F3" w:rsidRPr="00AA35F3" w:rsidTr="007F16A8">
        <w:trPr>
          <w:trHeight w:val="1167"/>
        </w:trPr>
        <w:tc>
          <w:tcPr>
            <w:tcW w:w="4330" w:type="dxa"/>
            <w:shd w:val="clear" w:color="auto" w:fill="BFBFBF" w:themeFill="background1" w:themeFillShade="BF"/>
            <w:vAlign w:val="center"/>
          </w:tcPr>
          <w:p w:rsidR="00AA35F3" w:rsidRPr="00AA35F3" w:rsidRDefault="00075B93" w:rsidP="001D0484">
            <w:pPr>
              <w:autoSpaceDE w:val="0"/>
              <w:autoSpaceDN w:val="0"/>
              <w:adjustRightInd w:val="0"/>
              <w:spacing w:after="0"/>
              <w:jc w:val="both"/>
              <w:rPr>
                <w:rFonts w:eastAsia="Calibri" w:cs="Arial"/>
                <w:b/>
                <w:color w:val="000000"/>
                <w:sz w:val="22"/>
              </w:rPr>
            </w:pPr>
            <w:r>
              <w:rPr>
                <w:rFonts w:eastAsia="Calibri" w:cs="Arial"/>
                <w:b/>
                <w:color w:val="000000"/>
                <w:sz w:val="22"/>
              </w:rPr>
              <w:t xml:space="preserve">c) </w:t>
            </w:r>
            <w:r w:rsidR="00AA35F3" w:rsidRPr="00AA35F3">
              <w:rPr>
                <w:rFonts w:eastAsia="Calibri" w:cs="Arial"/>
                <w:b/>
                <w:color w:val="000000"/>
                <w:sz w:val="22"/>
              </w:rPr>
              <w:t xml:space="preserve">2016/17 and 2017/18 Starts approved in Feb 2015 programme to spend Single Capital Pot grants confirmed by </w:t>
            </w:r>
            <w:proofErr w:type="spellStart"/>
            <w:r w:rsidR="00AA35F3" w:rsidRPr="00AA35F3">
              <w:rPr>
                <w:rFonts w:eastAsia="Calibri" w:cs="Arial"/>
                <w:b/>
                <w:color w:val="000000"/>
                <w:sz w:val="22"/>
              </w:rPr>
              <w:t>DfT</w:t>
            </w:r>
            <w:proofErr w:type="spellEnd"/>
            <w:r w:rsidR="00AA35F3" w:rsidRPr="00AA35F3">
              <w:rPr>
                <w:rFonts w:eastAsia="Calibri" w:cs="Arial"/>
                <w:b/>
                <w:color w:val="000000"/>
                <w:sz w:val="22"/>
              </w:rPr>
              <w:t xml:space="preserve"> as available in that year</w:t>
            </w:r>
          </w:p>
        </w:tc>
        <w:tc>
          <w:tcPr>
            <w:tcW w:w="1252"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color w:val="000000"/>
                <w:sz w:val="22"/>
              </w:rPr>
            </w:pP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color w:val="000000"/>
                <w:sz w:val="22"/>
              </w:rPr>
            </w:pPr>
          </w:p>
        </w:tc>
        <w:tc>
          <w:tcPr>
            <w:tcW w:w="1124"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color w:val="000000"/>
                <w:sz w:val="22"/>
              </w:rPr>
            </w:pPr>
          </w:p>
        </w:tc>
        <w:tc>
          <w:tcPr>
            <w:tcW w:w="1186" w:type="dxa"/>
            <w:shd w:val="clear" w:color="auto" w:fill="BFBFBF" w:themeFill="background1" w:themeFillShade="BF"/>
            <w:vAlign w:val="center"/>
          </w:tcPr>
          <w:p w:rsidR="00AA35F3" w:rsidRPr="00075B93" w:rsidRDefault="00AA35F3" w:rsidP="001D0484">
            <w:pPr>
              <w:autoSpaceDE w:val="0"/>
              <w:autoSpaceDN w:val="0"/>
              <w:adjustRightInd w:val="0"/>
              <w:spacing w:after="0"/>
              <w:jc w:val="center"/>
              <w:rPr>
                <w:rFonts w:eastAsia="Calibri" w:cs="Arial"/>
                <w:b/>
                <w:color w:val="000000"/>
                <w:sz w:val="22"/>
              </w:rPr>
            </w:pPr>
          </w:p>
        </w:tc>
      </w:tr>
      <w:tr w:rsidR="00AA35F3" w:rsidRPr="00AA35F3" w:rsidTr="007F16A8">
        <w:trPr>
          <w:trHeight w:val="563"/>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color w:val="000000"/>
                <w:sz w:val="22"/>
              </w:rPr>
            </w:pPr>
            <w:r w:rsidRPr="00AA35F3">
              <w:rPr>
                <w:rFonts w:eastAsia="Calibri" w:cs="Arial"/>
                <w:color w:val="000000"/>
                <w:sz w:val="22"/>
              </w:rPr>
              <w:t xml:space="preserve">Highways Maintenance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r w:rsidRPr="00AA35F3">
              <w:rPr>
                <w:rFonts w:eastAsia="Calibri" w:cs="Arial"/>
                <w:color w:val="000000"/>
                <w:sz w:val="22"/>
              </w:rPr>
              <w:t>20.454</w:t>
            </w:r>
          </w:p>
        </w:tc>
        <w:tc>
          <w:tcPr>
            <w:tcW w:w="1124"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r w:rsidRPr="00AA35F3">
              <w:rPr>
                <w:rFonts w:eastAsia="Calibri" w:cs="Arial"/>
                <w:color w:val="000000"/>
                <w:sz w:val="22"/>
              </w:rPr>
              <w:t>19.964</w:t>
            </w:r>
          </w:p>
        </w:tc>
        <w:tc>
          <w:tcPr>
            <w:tcW w:w="1124" w:type="dxa"/>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p>
        </w:tc>
        <w:tc>
          <w:tcPr>
            <w:tcW w:w="1186" w:type="dxa"/>
            <w:shd w:val="clear" w:color="auto" w:fill="auto"/>
            <w:vAlign w:val="center"/>
          </w:tcPr>
          <w:p w:rsidR="00AA35F3" w:rsidRPr="00075B93" w:rsidRDefault="00AA35F3" w:rsidP="001D0484">
            <w:pPr>
              <w:autoSpaceDE w:val="0"/>
              <w:autoSpaceDN w:val="0"/>
              <w:adjustRightInd w:val="0"/>
              <w:spacing w:after="0"/>
              <w:jc w:val="center"/>
              <w:rPr>
                <w:rFonts w:eastAsia="Calibri" w:cs="Arial"/>
                <w:b/>
                <w:color w:val="000000"/>
                <w:sz w:val="22"/>
              </w:rPr>
            </w:pPr>
            <w:r w:rsidRPr="00075B93">
              <w:rPr>
                <w:rFonts w:eastAsia="Calibri" w:cs="Arial"/>
                <w:b/>
                <w:color w:val="000000"/>
                <w:sz w:val="22"/>
              </w:rPr>
              <w:t>40.418</w:t>
            </w:r>
          </w:p>
        </w:tc>
      </w:tr>
      <w:tr w:rsidR="00AA35F3" w:rsidRPr="00AA35F3" w:rsidTr="007F16A8">
        <w:trPr>
          <w:trHeight w:val="557"/>
        </w:trPr>
        <w:tc>
          <w:tcPr>
            <w:tcW w:w="4330"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color w:val="000000"/>
                <w:sz w:val="22"/>
              </w:rPr>
            </w:pPr>
            <w:r w:rsidRPr="00AA35F3">
              <w:rPr>
                <w:rFonts w:eastAsia="Calibri" w:cs="Arial"/>
                <w:color w:val="000000"/>
                <w:sz w:val="22"/>
              </w:rPr>
              <w:t xml:space="preserve">Transport </w:t>
            </w:r>
          </w:p>
        </w:tc>
        <w:tc>
          <w:tcPr>
            <w:tcW w:w="1252"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r w:rsidRPr="00AA35F3">
              <w:rPr>
                <w:rFonts w:eastAsia="Calibri" w:cs="Arial"/>
                <w:color w:val="000000"/>
                <w:sz w:val="22"/>
              </w:rPr>
              <w:t>3.570</w:t>
            </w:r>
          </w:p>
        </w:tc>
        <w:tc>
          <w:tcPr>
            <w:tcW w:w="1124"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sz w:val="22"/>
              </w:rPr>
            </w:pPr>
            <w:r w:rsidRPr="00AA35F3">
              <w:rPr>
                <w:rFonts w:eastAsia="Calibri" w:cs="Arial"/>
                <w:sz w:val="22"/>
              </w:rPr>
              <w:t>3.320</w:t>
            </w:r>
          </w:p>
        </w:tc>
        <w:tc>
          <w:tcPr>
            <w:tcW w:w="1124" w:type="dxa"/>
            <w:shd w:val="clear" w:color="auto" w:fill="auto"/>
            <w:vAlign w:val="center"/>
          </w:tcPr>
          <w:p w:rsidR="00AA35F3" w:rsidRPr="00AA35F3" w:rsidRDefault="00AA35F3" w:rsidP="001D0484">
            <w:pPr>
              <w:autoSpaceDE w:val="0"/>
              <w:autoSpaceDN w:val="0"/>
              <w:adjustRightInd w:val="0"/>
              <w:spacing w:after="0"/>
              <w:jc w:val="center"/>
              <w:rPr>
                <w:rFonts w:eastAsia="Calibri" w:cs="Arial"/>
                <w:sz w:val="22"/>
              </w:rPr>
            </w:pPr>
          </w:p>
        </w:tc>
        <w:tc>
          <w:tcPr>
            <w:tcW w:w="1186" w:type="dxa"/>
            <w:shd w:val="clear" w:color="auto" w:fill="auto"/>
            <w:vAlign w:val="center"/>
          </w:tcPr>
          <w:p w:rsidR="00AA35F3" w:rsidRPr="00075B93" w:rsidRDefault="00AA35F3" w:rsidP="001D0484">
            <w:pPr>
              <w:autoSpaceDE w:val="0"/>
              <w:autoSpaceDN w:val="0"/>
              <w:adjustRightInd w:val="0"/>
              <w:spacing w:after="0"/>
              <w:jc w:val="center"/>
              <w:rPr>
                <w:rFonts w:eastAsia="Calibri" w:cs="Arial"/>
                <w:b/>
                <w:sz w:val="22"/>
              </w:rPr>
            </w:pPr>
            <w:r w:rsidRPr="00075B93">
              <w:rPr>
                <w:rFonts w:eastAsia="Calibri" w:cs="Arial"/>
                <w:b/>
                <w:sz w:val="22"/>
              </w:rPr>
              <w:t>6.890</w:t>
            </w:r>
          </w:p>
        </w:tc>
      </w:tr>
      <w:tr w:rsidR="007F16A8" w:rsidRPr="00AA35F3" w:rsidTr="007521A0">
        <w:trPr>
          <w:trHeight w:val="557"/>
        </w:trPr>
        <w:tc>
          <w:tcPr>
            <w:tcW w:w="4330" w:type="dxa"/>
            <w:tcBorders>
              <w:bottom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color w:val="000000"/>
                <w:sz w:val="22"/>
              </w:rPr>
            </w:pPr>
            <w:r w:rsidRPr="00AA35F3">
              <w:rPr>
                <w:rFonts w:eastAsia="Calibri" w:cs="Arial"/>
                <w:color w:val="000000"/>
                <w:sz w:val="22"/>
              </w:rPr>
              <w:t>LCC contribution to City Deal from L</w:t>
            </w:r>
            <w:r w:rsidR="007F0882">
              <w:rPr>
                <w:rFonts w:eastAsia="Calibri" w:cs="Arial"/>
                <w:color w:val="000000"/>
                <w:sz w:val="22"/>
              </w:rPr>
              <w:t xml:space="preserve">ocal </w:t>
            </w:r>
            <w:r w:rsidRPr="00AA35F3">
              <w:rPr>
                <w:rFonts w:eastAsia="Calibri" w:cs="Arial"/>
                <w:color w:val="000000"/>
                <w:sz w:val="22"/>
              </w:rPr>
              <w:t>T</w:t>
            </w:r>
            <w:r w:rsidR="007F0882">
              <w:rPr>
                <w:rFonts w:eastAsia="Calibri" w:cs="Arial"/>
                <w:color w:val="000000"/>
                <w:sz w:val="22"/>
              </w:rPr>
              <w:t xml:space="preserve">ransport </w:t>
            </w:r>
            <w:r w:rsidRPr="00AA35F3">
              <w:rPr>
                <w:rFonts w:eastAsia="Calibri" w:cs="Arial"/>
                <w:color w:val="000000"/>
                <w:sz w:val="22"/>
              </w:rPr>
              <w:t>P</w:t>
            </w:r>
            <w:r w:rsidR="007F0882">
              <w:rPr>
                <w:rFonts w:eastAsia="Calibri" w:cs="Arial"/>
                <w:color w:val="000000"/>
                <w:sz w:val="22"/>
              </w:rPr>
              <w:t>lan</w:t>
            </w:r>
          </w:p>
        </w:tc>
        <w:tc>
          <w:tcPr>
            <w:tcW w:w="1252" w:type="dxa"/>
            <w:tcBorders>
              <w:bottom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2.500</w:t>
            </w:r>
          </w:p>
        </w:tc>
        <w:tc>
          <w:tcPr>
            <w:tcW w:w="1124" w:type="dxa"/>
            <w:tcBorders>
              <w:bottom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2.500</w:t>
            </w:r>
          </w:p>
        </w:tc>
        <w:tc>
          <w:tcPr>
            <w:tcW w:w="1124" w:type="dxa"/>
            <w:tcBorders>
              <w:bottom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p>
        </w:tc>
        <w:tc>
          <w:tcPr>
            <w:tcW w:w="1186" w:type="dxa"/>
            <w:tcBorders>
              <w:bottom w:val="single" w:sz="4" w:space="0" w:color="auto"/>
            </w:tcBorders>
            <w:shd w:val="clear" w:color="auto" w:fill="auto"/>
            <w:vAlign w:val="center"/>
          </w:tcPr>
          <w:p w:rsidR="007F16A8" w:rsidRPr="00075B93" w:rsidRDefault="007F16A8" w:rsidP="007F16A8">
            <w:pPr>
              <w:autoSpaceDE w:val="0"/>
              <w:autoSpaceDN w:val="0"/>
              <w:adjustRightInd w:val="0"/>
              <w:spacing w:after="0"/>
              <w:jc w:val="center"/>
              <w:rPr>
                <w:rFonts w:eastAsia="Calibri" w:cs="Arial"/>
                <w:b/>
                <w:color w:val="000000"/>
                <w:sz w:val="22"/>
              </w:rPr>
            </w:pPr>
            <w:r w:rsidRPr="00075B93">
              <w:rPr>
                <w:rFonts w:eastAsia="Calibri" w:cs="Arial"/>
                <w:b/>
                <w:color w:val="000000"/>
                <w:sz w:val="22"/>
              </w:rPr>
              <w:t>5.000</w:t>
            </w:r>
          </w:p>
        </w:tc>
      </w:tr>
      <w:tr w:rsidR="007F16A8" w:rsidRPr="00AA35F3" w:rsidTr="00855D18">
        <w:trPr>
          <w:trHeight w:val="416"/>
        </w:trPr>
        <w:tc>
          <w:tcPr>
            <w:tcW w:w="9016" w:type="dxa"/>
            <w:gridSpan w:val="5"/>
            <w:shd w:val="clear" w:color="auto" w:fill="BFBFBF" w:themeFill="background1" w:themeFillShade="BF"/>
            <w:vAlign w:val="center"/>
          </w:tcPr>
          <w:p w:rsidR="007F16A8" w:rsidRPr="00AA35F3" w:rsidRDefault="007F16A8" w:rsidP="007F16A8">
            <w:pPr>
              <w:autoSpaceDE w:val="0"/>
              <w:autoSpaceDN w:val="0"/>
              <w:adjustRightInd w:val="0"/>
              <w:spacing w:after="0"/>
              <w:jc w:val="both"/>
              <w:rPr>
                <w:rFonts w:eastAsia="Calibri" w:cs="Arial"/>
                <w:color w:val="000000"/>
                <w:sz w:val="22"/>
              </w:rPr>
            </w:pPr>
            <w:r w:rsidRPr="00AA35F3">
              <w:rPr>
                <w:rFonts w:eastAsia="Calibri" w:cs="Arial"/>
                <w:b/>
                <w:color w:val="000000"/>
                <w:sz w:val="22"/>
                <w:u w:val="single"/>
              </w:rPr>
              <w:lastRenderedPageBreak/>
              <w:t xml:space="preserve">New for inclusion in February 2016 programme </w:t>
            </w:r>
          </w:p>
        </w:tc>
      </w:tr>
      <w:tr w:rsidR="007F16A8" w:rsidRPr="00AA35F3" w:rsidTr="00855D18">
        <w:trPr>
          <w:trHeight w:val="706"/>
        </w:trPr>
        <w:tc>
          <w:tcPr>
            <w:tcW w:w="901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6A8" w:rsidRPr="00AA35F3" w:rsidRDefault="007F16A8" w:rsidP="007F16A8">
            <w:pPr>
              <w:numPr>
                <w:ilvl w:val="0"/>
                <w:numId w:val="12"/>
              </w:numPr>
              <w:autoSpaceDE w:val="0"/>
              <w:autoSpaceDN w:val="0"/>
              <w:adjustRightInd w:val="0"/>
              <w:spacing w:after="0"/>
              <w:jc w:val="both"/>
              <w:rPr>
                <w:rFonts w:eastAsia="Calibri" w:cs="Arial"/>
                <w:b/>
                <w:color w:val="000000"/>
                <w:sz w:val="22"/>
              </w:rPr>
            </w:pPr>
            <w:r w:rsidRPr="00AA35F3">
              <w:rPr>
                <w:rFonts w:eastAsia="Calibri" w:cs="Arial"/>
                <w:b/>
                <w:color w:val="000000"/>
                <w:sz w:val="22"/>
              </w:rPr>
              <w:t xml:space="preserve">The following amounts have already received Cabinet approval  and are now being listed for inclusion in the draft  Capital Programme </w:t>
            </w:r>
          </w:p>
        </w:tc>
      </w:tr>
      <w:tr w:rsidR="007F16A8" w:rsidRPr="00AA35F3" w:rsidTr="007F0882">
        <w:trPr>
          <w:trHeight w:val="687"/>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bCs/>
                <w:color w:val="000000"/>
                <w:sz w:val="22"/>
              </w:rPr>
            </w:pPr>
            <w:r w:rsidRPr="00AA35F3">
              <w:rPr>
                <w:rFonts w:eastAsia="Calibri" w:cs="Arial"/>
                <w:bCs/>
                <w:color w:val="000000"/>
                <w:sz w:val="22"/>
              </w:rPr>
              <w:t xml:space="preserve">Schools Playing Fields programme </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0.783</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0.253</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bCs/>
                <w:color w:val="000000"/>
                <w:sz w:val="22"/>
              </w:rPr>
            </w:pPr>
            <w:r w:rsidRPr="00855D18">
              <w:rPr>
                <w:rFonts w:eastAsia="Calibri" w:cs="Arial"/>
                <w:b/>
                <w:bCs/>
                <w:color w:val="000000"/>
                <w:sz w:val="22"/>
              </w:rPr>
              <w:t>1.036</w:t>
            </w:r>
          </w:p>
        </w:tc>
      </w:tr>
      <w:tr w:rsidR="007F16A8" w:rsidRPr="00AA35F3" w:rsidTr="007F0882">
        <w:trPr>
          <w:trHeight w:val="696"/>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bCs/>
                <w:color w:val="000000"/>
                <w:sz w:val="22"/>
              </w:rPr>
            </w:pPr>
            <w:r w:rsidRPr="00AA35F3">
              <w:rPr>
                <w:rFonts w:eastAsia="Calibri" w:cs="Arial"/>
                <w:bCs/>
                <w:color w:val="000000"/>
                <w:sz w:val="22"/>
              </w:rPr>
              <w:t>Local Priorities Response Fund</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2.500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bCs/>
                <w:color w:val="000000"/>
                <w:sz w:val="22"/>
              </w:rPr>
            </w:pPr>
            <w:r w:rsidRPr="00855D18">
              <w:rPr>
                <w:rFonts w:eastAsia="Calibri" w:cs="Arial"/>
                <w:b/>
                <w:bCs/>
                <w:color w:val="000000"/>
                <w:sz w:val="22"/>
              </w:rPr>
              <w:t>2.500</w:t>
            </w:r>
          </w:p>
        </w:tc>
      </w:tr>
      <w:tr w:rsidR="007F16A8" w:rsidRPr="00AA35F3" w:rsidTr="007F16A8">
        <w:trPr>
          <w:trHeight w:val="1539"/>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bCs/>
                <w:color w:val="000000"/>
                <w:sz w:val="22"/>
              </w:rPr>
            </w:pPr>
            <w:r w:rsidRPr="00AA35F3">
              <w:rPr>
                <w:rFonts w:eastAsia="Calibri" w:cs="Arial"/>
                <w:bCs/>
                <w:color w:val="000000"/>
                <w:sz w:val="22"/>
              </w:rPr>
              <w:t xml:space="preserve">Schools Single Capital Pot grant from </w:t>
            </w:r>
            <w:proofErr w:type="spellStart"/>
            <w:r w:rsidRPr="00AA35F3">
              <w:rPr>
                <w:rFonts w:eastAsia="Calibri" w:cs="Arial"/>
                <w:bCs/>
                <w:color w:val="000000"/>
                <w:sz w:val="22"/>
              </w:rPr>
              <w:t>DfE</w:t>
            </w:r>
            <w:proofErr w:type="spellEnd"/>
            <w:r w:rsidRPr="00AA35F3">
              <w:rPr>
                <w:rFonts w:eastAsia="Calibri" w:cs="Arial"/>
                <w:bCs/>
                <w:color w:val="000000"/>
                <w:sz w:val="22"/>
              </w:rPr>
              <w:t xml:space="preserve"> for  Basic Need per Schools Capital Strategy Cabinet Report-allocations for 16/1</w:t>
            </w:r>
            <w:r>
              <w:rPr>
                <w:rFonts w:eastAsia="Calibri" w:cs="Arial"/>
                <w:bCs/>
                <w:color w:val="000000"/>
                <w:sz w:val="22"/>
              </w:rPr>
              <w:t>7 £8.891m plus 17/18 £29.006m (</w:t>
            </w:r>
            <w:r w:rsidRPr="00AA35F3">
              <w:rPr>
                <w:rFonts w:eastAsia="Calibri" w:cs="Arial"/>
                <w:bCs/>
                <w:color w:val="000000"/>
                <w:sz w:val="22"/>
              </w:rPr>
              <w:t>7/18 phased over 2 years)</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8.891</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9.006</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20.000</w:t>
            </w: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bCs/>
                <w:color w:val="000000"/>
                <w:sz w:val="22"/>
              </w:rPr>
            </w:pPr>
            <w:r w:rsidRPr="00855D18">
              <w:rPr>
                <w:rFonts w:eastAsia="Calibri" w:cs="Arial"/>
                <w:b/>
                <w:bCs/>
                <w:color w:val="000000"/>
                <w:sz w:val="22"/>
              </w:rPr>
              <w:t>37.897</w:t>
            </w:r>
          </w:p>
        </w:tc>
      </w:tr>
      <w:tr w:rsidR="007F16A8" w:rsidRPr="00AA35F3" w:rsidTr="007F16A8">
        <w:trPr>
          <w:trHeight w:val="980"/>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bCs/>
                <w:color w:val="000000"/>
                <w:sz w:val="22"/>
              </w:rPr>
            </w:pPr>
            <w:r w:rsidRPr="00AA35F3">
              <w:rPr>
                <w:rFonts w:eastAsia="Calibri" w:cs="Arial"/>
                <w:bCs/>
                <w:color w:val="000000"/>
                <w:sz w:val="22"/>
              </w:rPr>
              <w:t>Property Portfolio Rationalisation-Neighbourhood Centres suitability investment</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10.000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5.000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5.000</w:t>
            </w: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bCs/>
                <w:color w:val="000000"/>
                <w:sz w:val="22"/>
              </w:rPr>
            </w:pPr>
            <w:r w:rsidRPr="00855D18">
              <w:rPr>
                <w:rFonts w:eastAsia="Calibri" w:cs="Arial"/>
                <w:b/>
                <w:bCs/>
                <w:color w:val="000000"/>
                <w:sz w:val="22"/>
              </w:rPr>
              <w:t>20.000</w:t>
            </w:r>
          </w:p>
        </w:tc>
      </w:tr>
      <w:tr w:rsidR="007F16A8" w:rsidRPr="00AA35F3" w:rsidTr="00855D18">
        <w:trPr>
          <w:trHeight w:val="985"/>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bCs/>
                <w:color w:val="000000"/>
                <w:sz w:val="22"/>
              </w:rPr>
            </w:pPr>
            <w:r w:rsidRPr="00AA35F3">
              <w:rPr>
                <w:rFonts w:eastAsia="Calibri" w:cs="Arial"/>
                <w:bCs/>
                <w:color w:val="000000"/>
                <w:sz w:val="22"/>
              </w:rPr>
              <w:t>Property Portfolio Rationalisation-Neighbourhood Centres dilapidations on terminated or surrendered leases</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0.750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0.750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bCs/>
                <w:color w:val="000000"/>
                <w:sz w:val="22"/>
              </w:rPr>
            </w:pPr>
            <w:r w:rsidRPr="00855D18">
              <w:rPr>
                <w:rFonts w:eastAsia="Calibri" w:cs="Arial"/>
                <w:b/>
                <w:bCs/>
                <w:color w:val="000000"/>
                <w:sz w:val="22"/>
              </w:rPr>
              <w:t>1.500</w:t>
            </w:r>
          </w:p>
        </w:tc>
      </w:tr>
      <w:tr w:rsidR="007F16A8" w:rsidRPr="00AA35F3" w:rsidTr="007F0882">
        <w:trPr>
          <w:trHeight w:val="852"/>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0882" w:rsidP="007F0882">
            <w:pPr>
              <w:autoSpaceDE w:val="0"/>
              <w:autoSpaceDN w:val="0"/>
              <w:adjustRightInd w:val="0"/>
              <w:spacing w:after="0"/>
              <w:jc w:val="both"/>
              <w:rPr>
                <w:rFonts w:eastAsia="Calibri" w:cs="Arial"/>
                <w:color w:val="000000"/>
                <w:sz w:val="22"/>
              </w:rPr>
            </w:pPr>
            <w:r>
              <w:rPr>
                <w:rFonts w:eastAsia="Calibri" w:cs="Arial"/>
                <w:color w:val="000000"/>
                <w:sz w:val="22"/>
              </w:rPr>
              <w:t xml:space="preserve">Additional </w:t>
            </w:r>
            <w:proofErr w:type="spellStart"/>
            <w:r w:rsidR="007F16A8" w:rsidRPr="00AA35F3">
              <w:rPr>
                <w:rFonts w:eastAsia="Calibri" w:cs="Arial"/>
                <w:color w:val="000000"/>
                <w:sz w:val="22"/>
              </w:rPr>
              <w:t>Heysham</w:t>
            </w:r>
            <w:proofErr w:type="spellEnd"/>
            <w:r w:rsidR="007F16A8" w:rsidRPr="00AA35F3">
              <w:rPr>
                <w:rFonts w:eastAsia="Calibri" w:cs="Arial"/>
                <w:color w:val="000000"/>
                <w:sz w:val="22"/>
              </w:rPr>
              <w:t xml:space="preserve"> </w:t>
            </w:r>
            <w:r>
              <w:rPr>
                <w:rFonts w:eastAsia="Calibri" w:cs="Arial"/>
                <w:color w:val="000000"/>
                <w:sz w:val="22"/>
              </w:rPr>
              <w:t>f</w:t>
            </w:r>
            <w:r w:rsidR="007F16A8" w:rsidRPr="00AA35F3">
              <w:rPr>
                <w:rFonts w:eastAsia="Calibri" w:cs="Arial"/>
                <w:color w:val="000000"/>
                <w:sz w:val="22"/>
              </w:rPr>
              <w:t xml:space="preserve">unding required </w:t>
            </w:r>
            <w:r>
              <w:rPr>
                <w:rFonts w:eastAsia="Calibri" w:cs="Arial"/>
                <w:color w:val="000000"/>
                <w:sz w:val="22"/>
              </w:rPr>
              <w:t>not previously</w:t>
            </w:r>
            <w:r w:rsidR="007F16A8" w:rsidRPr="00AA35F3">
              <w:rPr>
                <w:rFonts w:eastAsia="Calibri" w:cs="Arial"/>
                <w:color w:val="000000"/>
                <w:sz w:val="22"/>
              </w:rPr>
              <w:t xml:space="preserve"> in Capital Programme</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3.772</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color w:val="000000"/>
                <w:sz w:val="22"/>
              </w:rPr>
            </w:pPr>
            <w:r w:rsidRPr="00855D18">
              <w:rPr>
                <w:rFonts w:eastAsia="Calibri" w:cs="Arial"/>
                <w:b/>
                <w:color w:val="000000"/>
                <w:sz w:val="22"/>
              </w:rPr>
              <w:t>3.772</w:t>
            </w:r>
          </w:p>
        </w:tc>
      </w:tr>
      <w:tr w:rsidR="007F16A8" w:rsidRPr="00AA35F3" w:rsidTr="007F16A8">
        <w:trPr>
          <w:trHeight w:val="2543"/>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color w:val="000000"/>
                <w:sz w:val="22"/>
              </w:rPr>
            </w:pPr>
            <w:r w:rsidRPr="00AA35F3">
              <w:rPr>
                <w:rFonts w:eastAsia="Calibri" w:cs="Arial"/>
                <w:color w:val="000000"/>
                <w:sz w:val="22"/>
              </w:rPr>
              <w:t xml:space="preserve">Green Energy Fund to enable research and development to support and develop green energy businesses, develop energy solutions for the </w:t>
            </w:r>
            <w:r>
              <w:rPr>
                <w:rFonts w:eastAsia="Calibri" w:cs="Arial"/>
                <w:color w:val="000000"/>
                <w:sz w:val="22"/>
              </w:rPr>
              <w:t xml:space="preserve">County </w:t>
            </w:r>
            <w:r w:rsidRPr="00AA35F3">
              <w:rPr>
                <w:rFonts w:eastAsia="Calibri" w:cs="Arial"/>
                <w:color w:val="000000"/>
                <w:sz w:val="22"/>
              </w:rPr>
              <w:t xml:space="preserve">Council and the communities of Lancashire including the use of the </w:t>
            </w:r>
            <w:r>
              <w:rPr>
                <w:rFonts w:eastAsia="Calibri" w:cs="Arial"/>
                <w:color w:val="000000"/>
                <w:sz w:val="22"/>
              </w:rPr>
              <w:t xml:space="preserve">County </w:t>
            </w:r>
            <w:r w:rsidRPr="00AA35F3">
              <w:rPr>
                <w:rFonts w:eastAsia="Calibri" w:cs="Arial"/>
                <w:color w:val="000000"/>
                <w:sz w:val="22"/>
              </w:rPr>
              <w:t>Council`s buildings to generate energy, as ap</w:t>
            </w:r>
            <w:r>
              <w:rPr>
                <w:rFonts w:eastAsia="Calibri" w:cs="Arial"/>
                <w:color w:val="000000"/>
                <w:sz w:val="22"/>
              </w:rPr>
              <w:t>proved at Full Council 12</w:t>
            </w:r>
            <w:r w:rsidRPr="00855D18">
              <w:rPr>
                <w:rFonts w:eastAsia="Calibri" w:cs="Arial"/>
                <w:color w:val="000000"/>
                <w:sz w:val="22"/>
                <w:vertAlign w:val="superscript"/>
              </w:rPr>
              <w:t>th</w:t>
            </w:r>
            <w:r>
              <w:rPr>
                <w:rFonts w:eastAsia="Calibri" w:cs="Arial"/>
                <w:color w:val="000000"/>
                <w:sz w:val="22"/>
              </w:rPr>
              <w:t xml:space="preserve"> February 2015.</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2.500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2.500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color w:val="000000"/>
                <w:sz w:val="22"/>
              </w:rPr>
            </w:pPr>
            <w:r w:rsidRPr="00855D18">
              <w:rPr>
                <w:rFonts w:eastAsia="Calibri" w:cs="Arial"/>
                <w:b/>
                <w:color w:val="000000"/>
                <w:sz w:val="22"/>
              </w:rPr>
              <w:t>5.000</w:t>
            </w:r>
          </w:p>
        </w:tc>
      </w:tr>
      <w:tr w:rsidR="007F16A8" w:rsidRPr="00AA35F3" w:rsidTr="00855D18">
        <w:trPr>
          <w:trHeight w:val="1988"/>
        </w:trPr>
        <w:tc>
          <w:tcPr>
            <w:tcW w:w="9016"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tcPr>
          <w:p w:rsidR="007F16A8" w:rsidRPr="00AA35F3" w:rsidRDefault="007F16A8" w:rsidP="007F16A8">
            <w:pPr>
              <w:numPr>
                <w:ilvl w:val="0"/>
                <w:numId w:val="12"/>
              </w:numPr>
              <w:autoSpaceDE w:val="0"/>
              <w:autoSpaceDN w:val="0"/>
              <w:adjustRightInd w:val="0"/>
              <w:spacing w:after="0"/>
              <w:jc w:val="both"/>
              <w:rPr>
                <w:rFonts w:eastAsia="Calibri" w:cs="Arial"/>
                <w:bCs/>
                <w:color w:val="FF0000"/>
                <w:sz w:val="22"/>
              </w:rPr>
            </w:pPr>
            <w:r w:rsidRPr="00AA35F3">
              <w:rPr>
                <w:rFonts w:eastAsia="Calibri" w:cs="Arial"/>
                <w:b/>
                <w:bCs/>
                <w:color w:val="000000"/>
                <w:sz w:val="22"/>
              </w:rPr>
              <w:t xml:space="preserve">The following amounts have NOT previously received Cabinet approval. Each year </w:t>
            </w:r>
            <w:proofErr w:type="spellStart"/>
            <w:r w:rsidRPr="00AA35F3">
              <w:rPr>
                <w:rFonts w:eastAsia="Calibri" w:cs="Arial"/>
                <w:b/>
                <w:bCs/>
                <w:color w:val="000000"/>
                <w:sz w:val="22"/>
              </w:rPr>
              <w:t>DfT</w:t>
            </w:r>
            <w:proofErr w:type="spellEnd"/>
            <w:r w:rsidRPr="00AA35F3">
              <w:rPr>
                <w:rFonts w:eastAsia="Calibri" w:cs="Arial"/>
                <w:b/>
                <w:bCs/>
                <w:color w:val="000000"/>
                <w:sz w:val="22"/>
              </w:rPr>
              <w:t xml:space="preserve"> and </w:t>
            </w:r>
            <w:proofErr w:type="spellStart"/>
            <w:r w:rsidRPr="00AA35F3">
              <w:rPr>
                <w:rFonts w:eastAsia="Calibri" w:cs="Arial"/>
                <w:b/>
                <w:bCs/>
                <w:color w:val="000000"/>
                <w:sz w:val="22"/>
              </w:rPr>
              <w:t>DfE</w:t>
            </w:r>
            <w:proofErr w:type="spellEnd"/>
            <w:r w:rsidRPr="00AA35F3">
              <w:rPr>
                <w:rFonts w:eastAsia="Calibri" w:cs="Arial"/>
                <w:b/>
                <w:bCs/>
                <w:color w:val="000000"/>
                <w:sz w:val="22"/>
              </w:rPr>
              <w:t xml:space="preserve"> provide Single Capital Pot grants for Highways, Transport and Schools capital programmes. The figures below represent the value of those programmes that are equivalent to the amount indicated as being available by </w:t>
            </w:r>
            <w:proofErr w:type="spellStart"/>
            <w:r w:rsidRPr="00AA35F3">
              <w:rPr>
                <w:rFonts w:eastAsia="Calibri" w:cs="Arial"/>
                <w:b/>
                <w:bCs/>
                <w:color w:val="000000"/>
                <w:sz w:val="22"/>
              </w:rPr>
              <w:t>DfT</w:t>
            </w:r>
            <w:proofErr w:type="spellEnd"/>
            <w:r w:rsidRPr="00AA35F3">
              <w:rPr>
                <w:rFonts w:eastAsia="Calibri" w:cs="Arial"/>
                <w:b/>
                <w:bCs/>
                <w:color w:val="000000"/>
                <w:sz w:val="22"/>
              </w:rPr>
              <w:t xml:space="preserve"> and </w:t>
            </w:r>
            <w:proofErr w:type="spellStart"/>
            <w:r w:rsidRPr="00AA35F3">
              <w:rPr>
                <w:rFonts w:eastAsia="Calibri" w:cs="Arial"/>
                <w:b/>
                <w:bCs/>
                <w:color w:val="000000"/>
                <w:sz w:val="22"/>
              </w:rPr>
              <w:t>DfE</w:t>
            </w:r>
            <w:proofErr w:type="spellEnd"/>
            <w:r w:rsidRPr="00AA35F3">
              <w:rPr>
                <w:rFonts w:eastAsia="Calibri" w:cs="Arial"/>
                <w:b/>
                <w:bCs/>
                <w:color w:val="000000"/>
                <w:sz w:val="22"/>
              </w:rPr>
              <w:t>, but not yet confirmed.</w:t>
            </w:r>
            <w:r w:rsidRPr="00AA35F3">
              <w:rPr>
                <w:rFonts w:eastAsia="Calibri" w:cs="Arial"/>
                <w:bCs/>
                <w:color w:val="FF0000"/>
                <w:sz w:val="22"/>
              </w:rPr>
              <w:t> </w:t>
            </w:r>
            <w:r w:rsidRPr="00AA35F3">
              <w:rPr>
                <w:rFonts w:eastAsia="Calibri" w:cs="Arial"/>
                <w:b/>
                <w:bCs/>
                <w:color w:val="000000"/>
                <w:sz w:val="22"/>
              </w:rPr>
              <w:t>Historically these amounts have been "</w:t>
            </w:r>
            <w:proofErr w:type="spellStart"/>
            <w:r w:rsidRPr="00AA35F3">
              <w:rPr>
                <w:rFonts w:eastAsia="Calibri" w:cs="Arial"/>
                <w:b/>
                <w:bCs/>
                <w:color w:val="000000"/>
                <w:sz w:val="22"/>
              </w:rPr>
              <w:t>passported</w:t>
            </w:r>
            <w:proofErr w:type="spellEnd"/>
            <w:r w:rsidRPr="00AA35F3">
              <w:rPr>
                <w:rFonts w:eastAsia="Calibri" w:cs="Arial"/>
                <w:b/>
                <w:bCs/>
                <w:color w:val="000000"/>
                <w:sz w:val="22"/>
              </w:rPr>
              <w:t xml:space="preserve">" to be spent as indicated by </w:t>
            </w:r>
            <w:proofErr w:type="spellStart"/>
            <w:r w:rsidRPr="00AA35F3">
              <w:rPr>
                <w:rFonts w:eastAsia="Calibri" w:cs="Arial"/>
                <w:b/>
                <w:bCs/>
                <w:color w:val="000000"/>
                <w:sz w:val="22"/>
              </w:rPr>
              <w:t>DfT</w:t>
            </w:r>
            <w:proofErr w:type="spellEnd"/>
            <w:r w:rsidRPr="00AA35F3">
              <w:rPr>
                <w:rFonts w:eastAsia="Calibri" w:cs="Arial"/>
                <w:b/>
                <w:bCs/>
                <w:color w:val="000000"/>
                <w:sz w:val="22"/>
              </w:rPr>
              <w:t xml:space="preserve"> and </w:t>
            </w:r>
            <w:proofErr w:type="spellStart"/>
            <w:r w:rsidRPr="00AA35F3">
              <w:rPr>
                <w:rFonts w:eastAsia="Calibri" w:cs="Arial"/>
                <w:b/>
                <w:bCs/>
                <w:color w:val="000000"/>
                <w:sz w:val="22"/>
              </w:rPr>
              <w:t>DfE</w:t>
            </w:r>
            <w:proofErr w:type="spellEnd"/>
            <w:r w:rsidRPr="00AA35F3">
              <w:rPr>
                <w:rFonts w:eastAsia="Calibri" w:cs="Arial"/>
                <w:b/>
                <w:bCs/>
                <w:color w:val="000000"/>
                <w:sz w:val="22"/>
              </w:rPr>
              <w:t>, but this principle could now be reconsidered. The only restrictions attached to these grants are that they are to be spent on capital.</w:t>
            </w:r>
            <w:r w:rsidRPr="00AA35F3">
              <w:rPr>
                <w:rFonts w:eastAsia="Calibri" w:cs="Arial"/>
                <w:bCs/>
                <w:color w:val="000000"/>
                <w:sz w:val="22"/>
              </w:rPr>
              <w:t xml:space="preserve"> </w:t>
            </w:r>
            <w:r w:rsidRPr="00AA35F3">
              <w:rPr>
                <w:rFonts w:eastAsia="Calibri" w:cs="Arial"/>
                <w:bCs/>
                <w:color w:val="FF0000"/>
                <w:sz w:val="22"/>
              </w:rPr>
              <w:t> </w:t>
            </w:r>
          </w:p>
        </w:tc>
      </w:tr>
      <w:tr w:rsidR="007F16A8" w:rsidRPr="00AA35F3" w:rsidTr="00855D18">
        <w:trPr>
          <w:trHeight w:val="794"/>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bCs/>
                <w:color w:val="000000"/>
                <w:sz w:val="22"/>
              </w:rPr>
            </w:pPr>
            <w:r w:rsidRPr="00AA35F3">
              <w:rPr>
                <w:rFonts w:eastAsia="Calibri" w:cs="Arial"/>
                <w:bCs/>
                <w:color w:val="000000"/>
                <w:sz w:val="22"/>
              </w:rPr>
              <w:t>Highways Maintenance equivalent to indicative allocation</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FF0000"/>
                <w:sz w:val="22"/>
              </w:rPr>
            </w:pP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FF0000"/>
                <w:sz w:val="22"/>
              </w:rPr>
            </w:pP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18.567</w:t>
            </w: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bCs/>
                <w:color w:val="000000"/>
                <w:sz w:val="22"/>
              </w:rPr>
            </w:pPr>
            <w:r w:rsidRPr="00855D18">
              <w:rPr>
                <w:rFonts w:eastAsia="Calibri" w:cs="Arial"/>
                <w:b/>
                <w:bCs/>
                <w:color w:val="000000"/>
                <w:sz w:val="22"/>
              </w:rPr>
              <w:t>18.567</w:t>
            </w:r>
          </w:p>
        </w:tc>
      </w:tr>
      <w:tr w:rsidR="007F16A8" w:rsidRPr="00AA35F3" w:rsidTr="007F16A8">
        <w:trPr>
          <w:trHeight w:val="988"/>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0882">
            <w:pPr>
              <w:autoSpaceDE w:val="0"/>
              <w:autoSpaceDN w:val="0"/>
              <w:adjustRightInd w:val="0"/>
              <w:spacing w:after="0"/>
              <w:jc w:val="both"/>
              <w:rPr>
                <w:rFonts w:eastAsia="Calibri" w:cs="Arial"/>
                <w:bCs/>
                <w:color w:val="000000"/>
                <w:sz w:val="22"/>
              </w:rPr>
            </w:pPr>
            <w:r w:rsidRPr="00AA35F3">
              <w:rPr>
                <w:rFonts w:eastAsia="Calibri" w:cs="Arial"/>
                <w:bCs/>
                <w:color w:val="000000"/>
                <w:sz w:val="22"/>
              </w:rPr>
              <w:t xml:space="preserve">Transport equivalent to indicative (£6.054m less City Deal contribution £2.5m) </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FF0000"/>
                <w:sz w:val="22"/>
              </w:rPr>
            </w:pP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FF0000"/>
                <w:sz w:val="22"/>
              </w:rPr>
            </w:pP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3.554</w:t>
            </w: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bCs/>
                <w:color w:val="000000"/>
                <w:sz w:val="22"/>
              </w:rPr>
            </w:pPr>
            <w:r w:rsidRPr="00855D18">
              <w:rPr>
                <w:rFonts w:eastAsia="Calibri" w:cs="Arial"/>
                <w:b/>
                <w:bCs/>
                <w:color w:val="000000"/>
                <w:sz w:val="22"/>
              </w:rPr>
              <w:t>3.554</w:t>
            </w:r>
          </w:p>
        </w:tc>
      </w:tr>
      <w:tr w:rsidR="007F16A8" w:rsidRPr="00AA35F3" w:rsidTr="007F16A8">
        <w:trPr>
          <w:trHeight w:val="557"/>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bCs/>
                <w:color w:val="000000"/>
                <w:sz w:val="22"/>
              </w:rPr>
            </w:pPr>
            <w:r w:rsidRPr="00AA35F3">
              <w:rPr>
                <w:rFonts w:eastAsia="Calibri" w:cs="Arial"/>
                <w:bCs/>
                <w:color w:val="000000"/>
                <w:sz w:val="22"/>
              </w:rPr>
              <w:lastRenderedPageBreak/>
              <w:t>Contribution  to City Deal</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FF0000"/>
                <w:sz w:val="22"/>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FF0000"/>
                <w:sz w:val="22"/>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2.500</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bCs/>
                <w:color w:val="000000"/>
                <w:sz w:val="22"/>
              </w:rPr>
            </w:pPr>
            <w:r w:rsidRPr="00855D18">
              <w:rPr>
                <w:rFonts w:eastAsia="Calibri" w:cs="Arial"/>
                <w:b/>
                <w:bCs/>
                <w:color w:val="000000"/>
                <w:sz w:val="22"/>
              </w:rPr>
              <w:t>2.500</w:t>
            </w:r>
          </w:p>
        </w:tc>
      </w:tr>
      <w:tr w:rsidR="007F16A8" w:rsidRPr="00AA35F3" w:rsidTr="007F16A8">
        <w:trPr>
          <w:trHeight w:val="694"/>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bCs/>
                <w:color w:val="000000"/>
                <w:sz w:val="22"/>
              </w:rPr>
            </w:pPr>
            <w:r w:rsidRPr="00AA35F3">
              <w:rPr>
                <w:rFonts w:eastAsia="Calibri" w:cs="Arial"/>
                <w:bCs/>
                <w:color w:val="000000"/>
                <w:sz w:val="22"/>
              </w:rPr>
              <w:t>Single Capital Pot Schools indicative Condition allocations</w:t>
            </w:r>
          </w:p>
        </w:tc>
        <w:tc>
          <w:tcPr>
            <w:tcW w:w="1252" w:type="dxa"/>
            <w:tcBorders>
              <w:top w:val="single" w:sz="4" w:space="0" w:color="auto"/>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11.319</w:t>
            </w:r>
          </w:p>
        </w:tc>
        <w:tc>
          <w:tcPr>
            <w:tcW w:w="1124" w:type="dxa"/>
            <w:tcBorders>
              <w:top w:val="single" w:sz="4" w:space="0" w:color="auto"/>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11.319</w:t>
            </w:r>
          </w:p>
        </w:tc>
        <w:tc>
          <w:tcPr>
            <w:tcW w:w="1124" w:type="dxa"/>
            <w:tcBorders>
              <w:top w:val="single" w:sz="4" w:space="0" w:color="auto"/>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bCs/>
                <w:color w:val="000000"/>
                <w:sz w:val="22"/>
              </w:rPr>
            </w:pPr>
            <w:r w:rsidRPr="00855D18">
              <w:rPr>
                <w:rFonts w:eastAsia="Calibri" w:cs="Arial"/>
                <w:b/>
                <w:bCs/>
                <w:color w:val="000000"/>
                <w:sz w:val="22"/>
              </w:rPr>
              <w:t>22.638</w:t>
            </w:r>
          </w:p>
        </w:tc>
      </w:tr>
      <w:tr w:rsidR="007F16A8" w:rsidRPr="00AA35F3" w:rsidTr="007F16A8">
        <w:trPr>
          <w:trHeight w:val="561"/>
        </w:trPr>
        <w:tc>
          <w:tcPr>
            <w:tcW w:w="4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6A8" w:rsidRPr="00AA35F3" w:rsidRDefault="007F16A8" w:rsidP="007F16A8">
            <w:pPr>
              <w:numPr>
                <w:ilvl w:val="0"/>
                <w:numId w:val="12"/>
              </w:numPr>
              <w:autoSpaceDE w:val="0"/>
              <w:autoSpaceDN w:val="0"/>
              <w:adjustRightInd w:val="0"/>
              <w:spacing w:after="0"/>
              <w:jc w:val="both"/>
              <w:rPr>
                <w:rFonts w:eastAsia="Calibri" w:cs="Arial"/>
                <w:b/>
                <w:bCs/>
                <w:color w:val="000000"/>
                <w:sz w:val="22"/>
              </w:rPr>
            </w:pPr>
            <w:r w:rsidRPr="00AA35F3">
              <w:rPr>
                <w:rFonts w:eastAsia="Calibri" w:cs="Arial"/>
                <w:b/>
                <w:bCs/>
                <w:color w:val="000000"/>
                <w:sz w:val="22"/>
              </w:rPr>
              <w:t>Economic Development schemes</w:t>
            </w:r>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6A8" w:rsidRPr="00AA35F3" w:rsidRDefault="007F16A8" w:rsidP="007F16A8">
            <w:pPr>
              <w:autoSpaceDE w:val="0"/>
              <w:autoSpaceDN w:val="0"/>
              <w:adjustRightInd w:val="0"/>
              <w:spacing w:after="120"/>
              <w:jc w:val="center"/>
              <w:rPr>
                <w:rFonts w:eastAsia="Calibri" w:cs="Arial"/>
                <w:bCs/>
                <w:color w:val="FF0000"/>
                <w:sz w:val="22"/>
              </w:rPr>
            </w:pPr>
          </w:p>
        </w:tc>
        <w:tc>
          <w:tcPr>
            <w:tcW w:w="1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6A8" w:rsidRPr="00AA35F3" w:rsidRDefault="007F16A8" w:rsidP="007F16A8">
            <w:pPr>
              <w:autoSpaceDE w:val="0"/>
              <w:autoSpaceDN w:val="0"/>
              <w:adjustRightInd w:val="0"/>
              <w:spacing w:after="120"/>
              <w:jc w:val="center"/>
              <w:rPr>
                <w:rFonts w:eastAsia="Calibri" w:cs="Arial"/>
                <w:bCs/>
                <w:color w:val="FF0000"/>
                <w:sz w:val="22"/>
              </w:rPr>
            </w:pPr>
          </w:p>
        </w:tc>
        <w:tc>
          <w:tcPr>
            <w:tcW w:w="1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6A8" w:rsidRPr="00AA35F3" w:rsidRDefault="007F16A8" w:rsidP="007F16A8">
            <w:pPr>
              <w:autoSpaceDE w:val="0"/>
              <w:autoSpaceDN w:val="0"/>
              <w:adjustRightInd w:val="0"/>
              <w:spacing w:after="120"/>
              <w:jc w:val="center"/>
              <w:rPr>
                <w:rFonts w:eastAsia="Calibri" w:cs="Arial"/>
                <w:bCs/>
                <w:color w:val="FF0000"/>
                <w:sz w:val="22"/>
              </w:rPr>
            </w:pPr>
          </w:p>
        </w:tc>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6A8" w:rsidRPr="00AA35F3" w:rsidRDefault="007F16A8" w:rsidP="007F16A8">
            <w:pPr>
              <w:autoSpaceDE w:val="0"/>
              <w:autoSpaceDN w:val="0"/>
              <w:adjustRightInd w:val="0"/>
              <w:spacing w:after="120"/>
              <w:jc w:val="center"/>
              <w:rPr>
                <w:rFonts w:eastAsia="Calibri" w:cs="Arial"/>
                <w:bCs/>
                <w:color w:val="FF0000"/>
                <w:sz w:val="22"/>
              </w:rPr>
            </w:pPr>
          </w:p>
        </w:tc>
      </w:tr>
      <w:tr w:rsidR="007F16A8" w:rsidRPr="00AA35F3" w:rsidTr="004508B4">
        <w:trPr>
          <w:trHeight w:val="464"/>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color w:val="000000"/>
                <w:sz w:val="22"/>
              </w:rPr>
            </w:pPr>
            <w:r w:rsidRPr="00AA35F3">
              <w:rPr>
                <w:rFonts w:eastAsia="Calibri" w:cs="Arial"/>
                <w:color w:val="000000"/>
                <w:sz w:val="22"/>
              </w:rPr>
              <w:t>SFBB Phase 2</w:t>
            </w:r>
          </w:p>
        </w:tc>
        <w:tc>
          <w:tcPr>
            <w:tcW w:w="1252" w:type="dxa"/>
            <w:tcBorders>
              <w:top w:val="single" w:sz="4" w:space="0" w:color="auto"/>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sz w:val="22"/>
              </w:rPr>
            </w:pPr>
            <w:r w:rsidRPr="00AA35F3">
              <w:rPr>
                <w:rFonts w:eastAsia="Calibri" w:cs="Arial"/>
                <w:sz w:val="22"/>
              </w:rPr>
              <w:t>5.400</w:t>
            </w:r>
          </w:p>
        </w:tc>
        <w:tc>
          <w:tcPr>
            <w:tcW w:w="1124" w:type="dxa"/>
            <w:tcBorders>
              <w:top w:val="single" w:sz="4" w:space="0" w:color="auto"/>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sz w:val="22"/>
              </w:rPr>
            </w:pPr>
          </w:p>
        </w:tc>
        <w:tc>
          <w:tcPr>
            <w:tcW w:w="1124" w:type="dxa"/>
            <w:tcBorders>
              <w:top w:val="single" w:sz="4" w:space="0" w:color="auto"/>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sz w:val="22"/>
              </w:rPr>
            </w:pPr>
            <w:r w:rsidRPr="00855D18">
              <w:rPr>
                <w:rFonts w:eastAsia="Calibri" w:cs="Arial"/>
                <w:b/>
                <w:sz w:val="22"/>
              </w:rPr>
              <w:t>5.400</w:t>
            </w:r>
          </w:p>
        </w:tc>
      </w:tr>
      <w:tr w:rsidR="007F16A8" w:rsidRPr="00AA35F3" w:rsidTr="00855D18">
        <w:trPr>
          <w:trHeight w:val="427"/>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color w:val="000000"/>
                <w:sz w:val="22"/>
              </w:rPr>
            </w:pPr>
            <w:r w:rsidRPr="00AA35F3">
              <w:rPr>
                <w:rFonts w:eastAsia="Calibri" w:cs="Arial"/>
                <w:color w:val="000000"/>
                <w:sz w:val="22"/>
              </w:rPr>
              <w:t xml:space="preserve">Phase 2 </w:t>
            </w:r>
            <w:proofErr w:type="spellStart"/>
            <w:r w:rsidRPr="00AA35F3">
              <w:rPr>
                <w:rFonts w:eastAsia="Calibri" w:cs="Arial"/>
                <w:color w:val="000000"/>
                <w:sz w:val="22"/>
              </w:rPr>
              <w:t>Skelmersdale</w:t>
            </w:r>
            <w:proofErr w:type="spellEnd"/>
            <w:r w:rsidRPr="00AA35F3">
              <w:rPr>
                <w:rFonts w:eastAsia="Calibri" w:cs="Arial"/>
                <w:color w:val="000000"/>
                <w:sz w:val="22"/>
              </w:rPr>
              <w:t xml:space="preserve"> Rail Link study</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0.500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3.200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7F16A8" w:rsidRPr="00855D18" w:rsidRDefault="007F16A8" w:rsidP="007F16A8">
            <w:pPr>
              <w:autoSpaceDE w:val="0"/>
              <w:autoSpaceDN w:val="0"/>
              <w:adjustRightInd w:val="0"/>
              <w:spacing w:after="0"/>
              <w:jc w:val="center"/>
              <w:rPr>
                <w:rFonts w:eastAsia="Calibri" w:cs="Arial"/>
                <w:b/>
                <w:color w:val="000000"/>
                <w:sz w:val="22"/>
              </w:rPr>
            </w:pPr>
            <w:r w:rsidRPr="00855D18">
              <w:rPr>
                <w:rFonts w:eastAsia="Calibri" w:cs="Arial"/>
                <w:b/>
                <w:color w:val="000000"/>
                <w:sz w:val="22"/>
              </w:rPr>
              <w:t>3.700</w:t>
            </w:r>
          </w:p>
        </w:tc>
      </w:tr>
      <w:tr w:rsidR="007F16A8" w:rsidRPr="00AA35F3" w:rsidTr="00855D18">
        <w:trPr>
          <w:trHeight w:val="405"/>
        </w:trPr>
        <w:tc>
          <w:tcPr>
            <w:tcW w:w="901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6A8" w:rsidRPr="00AA35F3" w:rsidRDefault="007F16A8" w:rsidP="007F16A8">
            <w:pPr>
              <w:numPr>
                <w:ilvl w:val="0"/>
                <w:numId w:val="12"/>
              </w:numPr>
              <w:autoSpaceDE w:val="0"/>
              <w:autoSpaceDN w:val="0"/>
              <w:adjustRightInd w:val="0"/>
              <w:spacing w:after="0"/>
              <w:jc w:val="both"/>
              <w:rPr>
                <w:rFonts w:eastAsia="Calibri" w:cs="Arial"/>
                <w:color w:val="000000"/>
                <w:sz w:val="22"/>
              </w:rPr>
            </w:pPr>
            <w:r w:rsidRPr="00AA35F3">
              <w:rPr>
                <w:rFonts w:eastAsia="Calibri" w:cs="Arial"/>
                <w:b/>
                <w:bCs/>
                <w:color w:val="000000"/>
                <w:sz w:val="22"/>
              </w:rPr>
              <w:t>The following were Budget Options approved at Cabinet on 26</w:t>
            </w:r>
            <w:r w:rsidRPr="00AA35F3">
              <w:rPr>
                <w:rFonts w:eastAsia="Calibri" w:cs="Arial"/>
                <w:b/>
                <w:bCs/>
                <w:color w:val="000000"/>
                <w:sz w:val="22"/>
                <w:vertAlign w:val="superscript"/>
              </w:rPr>
              <w:t>th</w:t>
            </w:r>
            <w:r w:rsidRPr="00AA35F3">
              <w:rPr>
                <w:rFonts w:eastAsia="Calibri" w:cs="Arial"/>
                <w:b/>
                <w:bCs/>
                <w:color w:val="000000"/>
                <w:sz w:val="22"/>
              </w:rPr>
              <w:t xml:space="preserve"> November 2015.</w:t>
            </w:r>
            <w:r w:rsidRPr="00AA35F3">
              <w:rPr>
                <w:rFonts w:eastAsia="Calibri" w:cs="Arial"/>
                <w:color w:val="000000"/>
                <w:sz w:val="22"/>
              </w:rPr>
              <w:t>  </w:t>
            </w:r>
          </w:p>
        </w:tc>
      </w:tr>
      <w:tr w:rsidR="007F16A8" w:rsidRPr="00AA35F3" w:rsidTr="00855D18">
        <w:trPr>
          <w:trHeight w:val="992"/>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color w:val="000000"/>
                <w:sz w:val="22"/>
              </w:rPr>
            </w:pPr>
            <w:r>
              <w:rPr>
                <w:rFonts w:eastAsia="Calibri" w:cs="Arial"/>
                <w:color w:val="000000"/>
                <w:sz w:val="22"/>
              </w:rPr>
              <w:t>County Hall refurbishment (</w:t>
            </w:r>
            <w:r w:rsidRPr="00AA35F3">
              <w:rPr>
                <w:rFonts w:eastAsia="Calibri" w:cs="Arial"/>
                <w:color w:val="000000"/>
                <w:sz w:val="22"/>
              </w:rPr>
              <w:t>£1.4m training/ conference centre plus £2.2m for office refurb</w:t>
            </w:r>
            <w:r>
              <w:rPr>
                <w:rFonts w:eastAsia="Calibri" w:cs="Arial"/>
                <w:color w:val="000000"/>
                <w:sz w:val="22"/>
              </w:rPr>
              <w:t>ishment</w:t>
            </w:r>
            <w:r w:rsidRPr="00AA35F3">
              <w:rPr>
                <w:rFonts w:eastAsia="Calibri" w:cs="Arial"/>
                <w:color w:val="000000"/>
                <w:sz w:val="22"/>
              </w:rPr>
              <w:t>)</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3.600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3.600</w:t>
            </w:r>
          </w:p>
        </w:tc>
      </w:tr>
      <w:tr w:rsidR="007F16A8" w:rsidRPr="00AA35F3" w:rsidTr="00683A37">
        <w:trPr>
          <w:trHeight w:val="644"/>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color w:val="000000"/>
                <w:sz w:val="22"/>
              </w:rPr>
            </w:pPr>
            <w:r w:rsidRPr="00AA35F3">
              <w:rPr>
                <w:rFonts w:eastAsia="Calibri" w:cs="Arial"/>
                <w:color w:val="000000"/>
                <w:sz w:val="22"/>
              </w:rPr>
              <w:t>Parish Buses</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0.500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0.500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1.000</w:t>
            </w:r>
          </w:p>
        </w:tc>
      </w:tr>
      <w:tr w:rsidR="007F16A8" w:rsidRPr="00AA35F3" w:rsidTr="00855D18">
        <w:trPr>
          <w:trHeight w:val="1267"/>
        </w:trPr>
        <w:tc>
          <w:tcPr>
            <w:tcW w:w="4330" w:type="dxa"/>
            <w:tcBorders>
              <w:top w:val="nil"/>
              <w:left w:val="single" w:sz="4" w:space="0" w:color="auto"/>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both"/>
              <w:rPr>
                <w:rFonts w:eastAsia="Calibri" w:cs="Arial"/>
                <w:color w:val="000000"/>
                <w:sz w:val="22"/>
              </w:rPr>
            </w:pPr>
            <w:r w:rsidRPr="00AA35F3">
              <w:rPr>
                <w:rFonts w:eastAsia="Calibri" w:cs="Arial"/>
                <w:color w:val="000000"/>
                <w:sz w:val="22"/>
              </w:rPr>
              <w:t xml:space="preserve">Street Lighting Energy Contract Invest to save to convert 50% of remaining non LED lanterns not currently being replaced via </w:t>
            </w:r>
            <w:proofErr w:type="spellStart"/>
            <w:r w:rsidRPr="00AA35F3">
              <w:rPr>
                <w:rFonts w:eastAsia="Calibri" w:cs="Arial"/>
                <w:color w:val="000000"/>
                <w:sz w:val="22"/>
              </w:rPr>
              <w:t>DfT</w:t>
            </w:r>
            <w:proofErr w:type="spellEnd"/>
            <w:r w:rsidRPr="00AA35F3">
              <w:rPr>
                <w:rFonts w:eastAsia="Calibri" w:cs="Arial"/>
                <w:color w:val="000000"/>
                <w:sz w:val="22"/>
              </w:rPr>
              <w:t xml:space="preserve"> Challenge Fund programme</w:t>
            </w:r>
          </w:p>
        </w:tc>
        <w:tc>
          <w:tcPr>
            <w:tcW w:w="1252"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2.000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3.000</w:t>
            </w:r>
          </w:p>
        </w:tc>
        <w:tc>
          <w:tcPr>
            <w:tcW w:w="1124"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7F16A8" w:rsidRPr="00AA35F3" w:rsidRDefault="007F16A8" w:rsidP="007F16A8">
            <w:pPr>
              <w:autoSpaceDE w:val="0"/>
              <w:autoSpaceDN w:val="0"/>
              <w:adjustRightInd w:val="0"/>
              <w:spacing w:after="0"/>
              <w:jc w:val="center"/>
              <w:rPr>
                <w:rFonts w:eastAsia="Calibri" w:cs="Arial"/>
                <w:color w:val="000000"/>
                <w:sz w:val="22"/>
              </w:rPr>
            </w:pPr>
            <w:r w:rsidRPr="00AA35F3">
              <w:rPr>
                <w:rFonts w:eastAsia="Calibri" w:cs="Arial"/>
                <w:color w:val="000000"/>
                <w:sz w:val="22"/>
              </w:rPr>
              <w:t>5.000</w:t>
            </w:r>
          </w:p>
        </w:tc>
      </w:tr>
      <w:tr w:rsidR="007F16A8" w:rsidRPr="00AA35F3" w:rsidTr="0026320C">
        <w:trPr>
          <w:trHeight w:val="563"/>
        </w:trPr>
        <w:tc>
          <w:tcPr>
            <w:tcW w:w="4330" w:type="dxa"/>
            <w:shd w:val="clear" w:color="auto" w:fill="BFBFBF" w:themeFill="background1" w:themeFillShade="BF"/>
            <w:vAlign w:val="center"/>
          </w:tcPr>
          <w:p w:rsidR="007F16A8" w:rsidRPr="00AA35F3" w:rsidRDefault="007F16A8" w:rsidP="007F16A8">
            <w:pPr>
              <w:autoSpaceDE w:val="0"/>
              <w:autoSpaceDN w:val="0"/>
              <w:adjustRightInd w:val="0"/>
              <w:spacing w:after="0"/>
              <w:jc w:val="both"/>
              <w:rPr>
                <w:rFonts w:eastAsia="Calibri" w:cs="Arial"/>
                <w:b/>
                <w:color w:val="000000"/>
                <w:sz w:val="22"/>
              </w:rPr>
            </w:pPr>
            <w:r w:rsidRPr="00AA35F3">
              <w:rPr>
                <w:rFonts w:eastAsia="Calibri" w:cs="Arial"/>
                <w:b/>
                <w:color w:val="000000"/>
                <w:sz w:val="22"/>
              </w:rPr>
              <w:t>Total Programme</w:t>
            </w:r>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16A8" w:rsidRPr="00AA35F3" w:rsidRDefault="007F16A8" w:rsidP="007F16A8">
            <w:pPr>
              <w:autoSpaceDE w:val="0"/>
              <w:autoSpaceDN w:val="0"/>
              <w:adjustRightInd w:val="0"/>
              <w:spacing w:after="0"/>
              <w:jc w:val="center"/>
              <w:rPr>
                <w:rFonts w:eastAsia="Calibri" w:cs="Arial"/>
                <w:b/>
                <w:bCs/>
                <w:sz w:val="22"/>
              </w:rPr>
            </w:pPr>
            <w:r w:rsidRPr="00AA35F3">
              <w:rPr>
                <w:rFonts w:eastAsia="Calibri" w:cs="Arial"/>
                <w:b/>
                <w:bCs/>
                <w:sz w:val="22"/>
              </w:rPr>
              <w:t>99.761</w:t>
            </w:r>
          </w:p>
        </w:tc>
        <w:tc>
          <w:tcPr>
            <w:tcW w:w="11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F16A8" w:rsidRPr="00AA35F3" w:rsidRDefault="007F16A8" w:rsidP="007F16A8">
            <w:pPr>
              <w:autoSpaceDE w:val="0"/>
              <w:autoSpaceDN w:val="0"/>
              <w:adjustRightInd w:val="0"/>
              <w:spacing w:after="0"/>
              <w:jc w:val="center"/>
              <w:rPr>
                <w:rFonts w:eastAsia="Calibri" w:cs="Arial"/>
                <w:b/>
                <w:bCs/>
                <w:sz w:val="22"/>
              </w:rPr>
            </w:pPr>
            <w:r w:rsidRPr="00AA35F3">
              <w:rPr>
                <w:rFonts w:eastAsia="Calibri" w:cs="Arial"/>
                <w:b/>
                <w:bCs/>
                <w:sz w:val="22"/>
              </w:rPr>
              <w:t>74.690</w:t>
            </w:r>
          </w:p>
        </w:tc>
        <w:tc>
          <w:tcPr>
            <w:tcW w:w="11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F16A8" w:rsidRPr="00AA35F3" w:rsidRDefault="007F16A8" w:rsidP="007F16A8">
            <w:pPr>
              <w:autoSpaceDE w:val="0"/>
              <w:autoSpaceDN w:val="0"/>
              <w:adjustRightInd w:val="0"/>
              <w:spacing w:after="0"/>
              <w:jc w:val="center"/>
              <w:rPr>
                <w:rFonts w:eastAsia="Calibri" w:cs="Arial"/>
                <w:b/>
                <w:bCs/>
                <w:sz w:val="22"/>
              </w:rPr>
            </w:pPr>
            <w:r w:rsidRPr="00AA35F3">
              <w:rPr>
                <w:rFonts w:eastAsia="Calibri" w:cs="Arial"/>
                <w:b/>
                <w:bCs/>
                <w:sz w:val="22"/>
              </w:rPr>
              <w:t>49.621</w:t>
            </w:r>
          </w:p>
        </w:tc>
        <w:tc>
          <w:tcPr>
            <w:tcW w:w="11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F16A8" w:rsidRPr="00AA35F3" w:rsidRDefault="007F16A8" w:rsidP="007F16A8">
            <w:pPr>
              <w:autoSpaceDE w:val="0"/>
              <w:autoSpaceDN w:val="0"/>
              <w:adjustRightInd w:val="0"/>
              <w:spacing w:after="0"/>
              <w:jc w:val="center"/>
              <w:rPr>
                <w:rFonts w:eastAsia="Calibri" w:cs="Arial"/>
                <w:b/>
                <w:bCs/>
                <w:sz w:val="22"/>
              </w:rPr>
            </w:pPr>
            <w:r w:rsidRPr="00AA35F3">
              <w:rPr>
                <w:rFonts w:eastAsia="Calibri" w:cs="Arial"/>
                <w:b/>
                <w:bCs/>
                <w:sz w:val="22"/>
              </w:rPr>
              <w:t>224.072</w:t>
            </w:r>
          </w:p>
        </w:tc>
      </w:tr>
    </w:tbl>
    <w:p w:rsidR="00AA35F3" w:rsidRPr="00AA35F3" w:rsidRDefault="00AA35F3" w:rsidP="001D0484">
      <w:pPr>
        <w:autoSpaceDE w:val="0"/>
        <w:autoSpaceDN w:val="0"/>
        <w:adjustRightInd w:val="0"/>
        <w:spacing w:after="0"/>
        <w:jc w:val="both"/>
        <w:rPr>
          <w:rFonts w:eastAsia="Calibri" w:cs="Helvetica-Light"/>
          <w:b/>
          <w:color w:val="000000"/>
          <w:szCs w:val="24"/>
        </w:rPr>
      </w:pPr>
    </w:p>
    <w:p w:rsidR="00AA35F3" w:rsidRDefault="00AA35F3" w:rsidP="001D0484">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The table above does not include the impact arising from variances in expenditure and funding during 2015/16. Analysis of this impact will be undertaken as part of the year end accounting process</w:t>
      </w:r>
      <w:r w:rsidR="00727CA3">
        <w:rPr>
          <w:rFonts w:eastAsia="Calibri" w:cs="Helvetica-Light"/>
          <w:color w:val="000000"/>
          <w:szCs w:val="24"/>
        </w:rPr>
        <w:t>.</w:t>
      </w:r>
    </w:p>
    <w:p w:rsidR="00727CA3" w:rsidRPr="00AA35F3" w:rsidRDefault="00727CA3" w:rsidP="001D0484">
      <w:pPr>
        <w:autoSpaceDE w:val="0"/>
        <w:autoSpaceDN w:val="0"/>
        <w:adjustRightInd w:val="0"/>
        <w:spacing w:after="0"/>
        <w:jc w:val="both"/>
        <w:rPr>
          <w:rFonts w:eastAsia="Calibri" w:cs="Helvetica-Light"/>
          <w:color w:val="000000"/>
          <w:szCs w:val="24"/>
        </w:rPr>
      </w:pPr>
    </w:p>
    <w:p w:rsidR="00AA35F3" w:rsidRPr="00AA35F3" w:rsidRDefault="00AA35F3" w:rsidP="001D0484">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It should be noted that the above is based upon the principle agreed with the Budget Scrutiny Working Group that prudential borrowing should take place wherever possible, rather than utilisation of capital reserves.  Capitalisation of activity is subject to regulatory control and a review is undertaken prior to capitalisation to ensure compliance. In particular, within the CIPFA code, site selection is not regarded as eligible capital expenditure.</w:t>
      </w:r>
    </w:p>
    <w:p w:rsidR="0026320C" w:rsidRDefault="0026320C" w:rsidP="001D0484">
      <w:pPr>
        <w:autoSpaceDE w:val="0"/>
        <w:autoSpaceDN w:val="0"/>
        <w:adjustRightInd w:val="0"/>
        <w:spacing w:after="120"/>
        <w:contextualSpacing/>
        <w:jc w:val="both"/>
        <w:rPr>
          <w:rFonts w:eastAsia="Calibri" w:cs="Helvetica-Light"/>
          <w:color w:val="000000"/>
          <w:szCs w:val="24"/>
        </w:rPr>
      </w:pPr>
    </w:p>
    <w:p w:rsidR="00AA35F3" w:rsidRPr="0026320C" w:rsidRDefault="0026320C" w:rsidP="001D0484">
      <w:pPr>
        <w:autoSpaceDE w:val="0"/>
        <w:autoSpaceDN w:val="0"/>
        <w:adjustRightInd w:val="0"/>
        <w:spacing w:after="0"/>
        <w:contextualSpacing/>
        <w:jc w:val="both"/>
        <w:rPr>
          <w:rFonts w:eastAsia="Calibri" w:cs="Helvetica-Light"/>
          <w:i/>
          <w:color w:val="000000"/>
          <w:szCs w:val="24"/>
        </w:rPr>
      </w:pPr>
      <w:r w:rsidRPr="0026320C">
        <w:rPr>
          <w:rFonts w:eastAsia="Calibri" w:cs="Helvetica-Light"/>
          <w:i/>
          <w:color w:val="000000"/>
          <w:szCs w:val="24"/>
        </w:rPr>
        <w:t>7.</w:t>
      </w:r>
      <w:r w:rsidR="00C95E4F">
        <w:rPr>
          <w:rFonts w:eastAsia="Calibri" w:cs="Helvetica-Light"/>
          <w:i/>
          <w:color w:val="000000"/>
          <w:szCs w:val="24"/>
        </w:rPr>
        <w:t>2</w:t>
      </w:r>
      <w:r w:rsidRPr="0026320C">
        <w:rPr>
          <w:rFonts w:eastAsia="Calibri" w:cs="Helvetica-Light"/>
          <w:i/>
          <w:color w:val="000000"/>
          <w:szCs w:val="24"/>
        </w:rPr>
        <w:t xml:space="preserve"> </w:t>
      </w:r>
      <w:r w:rsidR="00AA35F3" w:rsidRPr="0026320C">
        <w:rPr>
          <w:rFonts w:eastAsia="Calibri" w:cs="Helvetica-Light"/>
          <w:i/>
          <w:color w:val="000000"/>
          <w:szCs w:val="24"/>
        </w:rPr>
        <w:t>Funding Implications</w:t>
      </w:r>
    </w:p>
    <w:p w:rsidR="0026320C" w:rsidRPr="00AA35F3" w:rsidRDefault="0026320C" w:rsidP="001D0484">
      <w:pPr>
        <w:autoSpaceDE w:val="0"/>
        <w:autoSpaceDN w:val="0"/>
        <w:adjustRightInd w:val="0"/>
        <w:spacing w:after="0"/>
        <w:contextualSpacing/>
        <w:jc w:val="both"/>
        <w:rPr>
          <w:rFonts w:eastAsia="Calibri" w:cs="Helvetica-Light"/>
          <w:color w:val="000000"/>
          <w:szCs w:val="24"/>
        </w:rPr>
      </w:pPr>
    </w:p>
    <w:p w:rsidR="00AA35F3" w:rsidRPr="00AA35F3" w:rsidRDefault="00AA35F3" w:rsidP="001D0484">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 xml:space="preserve">The capital programme is currently funded by a variety of funding streams including specific government capital grants, capital receipts, LCC revenue funds and prudential borrowing.  A number of actions are being recommended within </w:t>
      </w:r>
      <w:r w:rsidR="00EE0166">
        <w:rPr>
          <w:rFonts w:eastAsia="Calibri" w:cs="Helvetica-Light"/>
          <w:color w:val="000000"/>
          <w:szCs w:val="24"/>
        </w:rPr>
        <w:t>this report</w:t>
      </w:r>
      <w:r w:rsidRPr="00AA35F3">
        <w:rPr>
          <w:rFonts w:eastAsia="Calibri" w:cs="Helvetica-Light"/>
          <w:color w:val="000000"/>
          <w:szCs w:val="24"/>
        </w:rPr>
        <w:t xml:space="preserve"> including ceasing to fund the capital programme from the use of revenue and revenue reserves and utilise more prudent</w:t>
      </w:r>
      <w:r w:rsidR="00EE0166">
        <w:rPr>
          <w:rFonts w:eastAsia="Calibri" w:cs="Helvetica-Light"/>
          <w:color w:val="000000"/>
          <w:szCs w:val="24"/>
        </w:rPr>
        <w:t>ial borrowing. The total borrowing is</w:t>
      </w:r>
      <w:r w:rsidRPr="00AA35F3">
        <w:rPr>
          <w:rFonts w:eastAsia="Calibri" w:cs="Helvetica-Light"/>
          <w:color w:val="000000"/>
          <w:szCs w:val="24"/>
        </w:rPr>
        <w:t xml:space="preserve"> £61.281m</w:t>
      </w:r>
      <w:r w:rsidR="0026320C">
        <w:rPr>
          <w:rFonts w:eastAsia="Calibri" w:cs="Helvetica-Light"/>
          <w:color w:val="000000"/>
          <w:szCs w:val="24"/>
        </w:rPr>
        <w:t>.</w:t>
      </w:r>
    </w:p>
    <w:p w:rsidR="00EE0166" w:rsidRDefault="00EE0166">
      <w:pPr>
        <w:rPr>
          <w:rFonts w:eastAsia="Calibri" w:cs="Helvetica-Light"/>
          <w:color w:val="000000"/>
          <w:szCs w:val="24"/>
        </w:rPr>
      </w:pPr>
      <w:r>
        <w:rPr>
          <w:rFonts w:eastAsia="Calibri" w:cs="Helvetica-Light"/>
          <w:color w:val="000000"/>
          <w:szCs w:val="24"/>
        </w:rPr>
        <w:br w:type="page"/>
      </w:r>
    </w:p>
    <w:p w:rsidR="00AA35F3" w:rsidRPr="0026320C" w:rsidRDefault="0026320C" w:rsidP="001D0484">
      <w:pPr>
        <w:autoSpaceDE w:val="0"/>
        <w:autoSpaceDN w:val="0"/>
        <w:adjustRightInd w:val="0"/>
        <w:spacing w:after="0"/>
        <w:contextualSpacing/>
        <w:jc w:val="both"/>
        <w:rPr>
          <w:rFonts w:eastAsia="Calibri" w:cs="Helvetica-Light"/>
          <w:i/>
          <w:color w:val="000000"/>
          <w:szCs w:val="24"/>
        </w:rPr>
      </w:pPr>
      <w:r>
        <w:rPr>
          <w:rFonts w:eastAsia="Calibri" w:cs="Helvetica-Light"/>
          <w:i/>
          <w:color w:val="000000"/>
          <w:szCs w:val="24"/>
        </w:rPr>
        <w:lastRenderedPageBreak/>
        <w:t>7.</w:t>
      </w:r>
      <w:r w:rsidR="00C95E4F">
        <w:rPr>
          <w:rFonts w:eastAsia="Calibri" w:cs="Helvetica-Light"/>
          <w:i/>
          <w:color w:val="000000"/>
          <w:szCs w:val="24"/>
        </w:rPr>
        <w:t>2</w:t>
      </w:r>
      <w:r>
        <w:rPr>
          <w:rFonts w:eastAsia="Calibri" w:cs="Helvetica-Light"/>
          <w:i/>
          <w:color w:val="000000"/>
          <w:szCs w:val="24"/>
        </w:rPr>
        <w:t xml:space="preserve">.1 </w:t>
      </w:r>
      <w:r w:rsidR="00AA35F3" w:rsidRPr="0026320C">
        <w:rPr>
          <w:rFonts w:eastAsia="Calibri" w:cs="Helvetica-Light"/>
          <w:i/>
          <w:color w:val="000000"/>
          <w:szCs w:val="24"/>
        </w:rPr>
        <w:t>Capital Receipts</w:t>
      </w:r>
    </w:p>
    <w:p w:rsidR="00AA35F3" w:rsidRPr="00AA35F3" w:rsidRDefault="00AA35F3" w:rsidP="001D0484">
      <w:pPr>
        <w:autoSpaceDE w:val="0"/>
        <w:autoSpaceDN w:val="0"/>
        <w:adjustRightInd w:val="0"/>
        <w:spacing w:after="120"/>
        <w:contextualSpacing/>
        <w:jc w:val="both"/>
        <w:rPr>
          <w:rFonts w:eastAsia="Calibri" w:cs="Helvetica-Light"/>
          <w:b/>
          <w:color w:val="000000"/>
          <w:szCs w:val="24"/>
        </w:rPr>
      </w:pPr>
    </w:p>
    <w:p w:rsidR="00AA35F3" w:rsidRDefault="00AA35F3" w:rsidP="001D0484">
      <w:pPr>
        <w:spacing w:after="0"/>
        <w:jc w:val="both"/>
        <w:rPr>
          <w:rFonts w:eastAsia="Calibri" w:cs="Helvetica-Light"/>
          <w:color w:val="000000"/>
          <w:szCs w:val="24"/>
        </w:rPr>
      </w:pPr>
      <w:r w:rsidRPr="00AA35F3">
        <w:rPr>
          <w:rFonts w:eastAsia="Calibri" w:cs="Helvetica-Light"/>
          <w:color w:val="000000"/>
          <w:szCs w:val="24"/>
        </w:rPr>
        <w:t>In line with new Government legislation taking effect from 1</w:t>
      </w:r>
      <w:r w:rsidR="004508B4" w:rsidRPr="004508B4">
        <w:rPr>
          <w:rFonts w:eastAsia="Calibri" w:cs="Helvetica-Light"/>
          <w:color w:val="000000"/>
          <w:szCs w:val="24"/>
          <w:vertAlign w:val="superscript"/>
        </w:rPr>
        <w:t>st</w:t>
      </w:r>
      <w:r w:rsidR="004508B4">
        <w:rPr>
          <w:rFonts w:eastAsia="Calibri" w:cs="Helvetica-Light"/>
          <w:color w:val="000000"/>
          <w:szCs w:val="24"/>
        </w:rPr>
        <w:t xml:space="preserve"> </w:t>
      </w:r>
      <w:r w:rsidR="001D0484">
        <w:rPr>
          <w:rFonts w:eastAsia="Calibri" w:cs="Helvetica-Light"/>
          <w:color w:val="000000"/>
          <w:szCs w:val="24"/>
        </w:rPr>
        <w:t>April 2016, capital r</w:t>
      </w:r>
      <w:r w:rsidRPr="00AA35F3">
        <w:rPr>
          <w:rFonts w:eastAsia="Calibri" w:cs="Helvetica-Light"/>
          <w:color w:val="000000"/>
          <w:szCs w:val="24"/>
        </w:rPr>
        <w:t>eceipts are included in the M</w:t>
      </w:r>
      <w:r w:rsidR="00EE0166">
        <w:rPr>
          <w:rFonts w:eastAsia="Calibri" w:cs="Helvetica-Light"/>
          <w:color w:val="000000"/>
          <w:szCs w:val="24"/>
        </w:rPr>
        <w:t>TFS Strategy to support revenue. C</w:t>
      </w:r>
      <w:r w:rsidRPr="00AA35F3">
        <w:rPr>
          <w:rFonts w:eastAsia="Calibri" w:cs="Helvetica-Light"/>
          <w:color w:val="000000"/>
          <w:szCs w:val="24"/>
        </w:rPr>
        <w:t xml:space="preserve">apital receipts are excluded from </w:t>
      </w:r>
      <w:r w:rsidR="00766F10">
        <w:rPr>
          <w:rFonts w:eastAsia="Calibri" w:cs="Helvetica-Light"/>
          <w:color w:val="000000"/>
          <w:szCs w:val="24"/>
        </w:rPr>
        <w:t>Table 13</w:t>
      </w:r>
      <w:r w:rsidRPr="00AA35F3">
        <w:rPr>
          <w:rFonts w:eastAsia="Calibri" w:cs="Helvetica-Light"/>
          <w:color w:val="000000"/>
          <w:szCs w:val="24"/>
        </w:rPr>
        <w:t xml:space="preserve"> below with the exception of those specifically earmarked for a scheme in</w:t>
      </w:r>
      <w:r w:rsidR="00EE0166">
        <w:rPr>
          <w:rFonts w:eastAsia="Calibri" w:cs="Helvetica-Light"/>
          <w:color w:val="000000"/>
          <w:szCs w:val="24"/>
        </w:rPr>
        <w:t xml:space="preserve">cluded in the capital programme. There are two anticipated sources of </w:t>
      </w:r>
      <w:r w:rsidR="001D0484">
        <w:rPr>
          <w:rFonts w:eastAsia="Calibri" w:cs="Helvetica-Light"/>
          <w:color w:val="000000"/>
          <w:szCs w:val="24"/>
        </w:rPr>
        <w:t>capital r</w:t>
      </w:r>
      <w:r w:rsidR="00EE0166">
        <w:rPr>
          <w:rFonts w:eastAsia="Calibri" w:cs="Helvetica-Light"/>
          <w:color w:val="000000"/>
          <w:szCs w:val="24"/>
        </w:rPr>
        <w:t>eceipts</w:t>
      </w:r>
      <w:r w:rsidRPr="00AA35F3">
        <w:rPr>
          <w:rFonts w:eastAsia="Calibri" w:cs="Helvetica-Light"/>
          <w:color w:val="000000"/>
          <w:szCs w:val="24"/>
        </w:rPr>
        <w:t>:</w:t>
      </w:r>
    </w:p>
    <w:p w:rsidR="001D0484" w:rsidRPr="00AA35F3" w:rsidRDefault="001D0484" w:rsidP="001D0484">
      <w:pPr>
        <w:spacing w:after="0"/>
        <w:jc w:val="both"/>
        <w:rPr>
          <w:rFonts w:eastAsia="Calibri" w:cs="Helvetica-Light"/>
          <w:color w:val="000000"/>
          <w:szCs w:val="24"/>
        </w:rPr>
      </w:pPr>
    </w:p>
    <w:p w:rsidR="00AA35F3" w:rsidRPr="00AA35F3" w:rsidRDefault="00AA35F3" w:rsidP="001D0484">
      <w:pPr>
        <w:numPr>
          <w:ilvl w:val="0"/>
          <w:numId w:val="9"/>
        </w:numPr>
        <w:autoSpaceDE w:val="0"/>
        <w:autoSpaceDN w:val="0"/>
        <w:adjustRightInd w:val="0"/>
        <w:spacing w:after="0"/>
        <w:ind w:left="284" w:hanging="284"/>
        <w:jc w:val="both"/>
        <w:rPr>
          <w:rFonts w:eastAsia="Calibri" w:cs="Helvetica-Light"/>
          <w:color w:val="000000"/>
          <w:szCs w:val="24"/>
        </w:rPr>
      </w:pPr>
      <w:r w:rsidRPr="00AA35F3">
        <w:rPr>
          <w:rFonts w:eastAsia="Calibri" w:cs="Helvetica-Light"/>
          <w:color w:val="000000"/>
          <w:szCs w:val="24"/>
        </w:rPr>
        <w:t>The Property Portfolio Rationalisation Strategy re</w:t>
      </w:r>
      <w:r w:rsidR="00EE0166">
        <w:rPr>
          <w:rFonts w:eastAsia="Calibri" w:cs="Helvetica-Light"/>
          <w:color w:val="000000"/>
          <w:szCs w:val="24"/>
        </w:rPr>
        <w:t>garding</w:t>
      </w:r>
      <w:r w:rsidRPr="00AA35F3">
        <w:rPr>
          <w:rFonts w:eastAsia="Calibri" w:cs="Helvetica-Light"/>
          <w:color w:val="000000"/>
          <w:szCs w:val="24"/>
        </w:rPr>
        <w:t xml:space="preserve"> Neighbourhood Centre</w:t>
      </w:r>
      <w:r w:rsidR="001D0484">
        <w:rPr>
          <w:rFonts w:eastAsia="Calibri" w:cs="Helvetica-Light"/>
          <w:color w:val="000000"/>
          <w:szCs w:val="24"/>
        </w:rPr>
        <w:t xml:space="preserve">s includes expected capital </w:t>
      </w:r>
      <w:r w:rsidR="00EE0166">
        <w:rPr>
          <w:rFonts w:eastAsia="Calibri" w:cs="Helvetica-Light"/>
          <w:color w:val="000000"/>
          <w:szCs w:val="24"/>
        </w:rPr>
        <w:t>r</w:t>
      </w:r>
      <w:r w:rsidR="00EE0166" w:rsidRPr="00AA35F3">
        <w:rPr>
          <w:rFonts w:eastAsia="Calibri" w:cs="Helvetica-Light"/>
          <w:color w:val="000000"/>
          <w:szCs w:val="24"/>
        </w:rPr>
        <w:t>eceipts</w:t>
      </w:r>
      <w:r w:rsidRPr="00AA35F3">
        <w:rPr>
          <w:rFonts w:eastAsia="Calibri" w:cs="Helvetica-Light"/>
          <w:color w:val="000000"/>
          <w:szCs w:val="24"/>
        </w:rPr>
        <w:t xml:space="preserve"> from </w:t>
      </w:r>
      <w:r w:rsidR="00EE0166">
        <w:rPr>
          <w:rFonts w:eastAsia="Calibri" w:cs="Helvetica-Light"/>
          <w:color w:val="000000"/>
          <w:szCs w:val="24"/>
        </w:rPr>
        <w:t xml:space="preserve">the </w:t>
      </w:r>
      <w:r w:rsidRPr="00AA35F3">
        <w:rPr>
          <w:rFonts w:eastAsia="Calibri" w:cs="Helvetica-Light"/>
          <w:color w:val="000000"/>
          <w:szCs w:val="24"/>
        </w:rPr>
        <w:t xml:space="preserve">sale of surplus properties </w:t>
      </w:r>
      <w:r w:rsidR="00EE0166">
        <w:rPr>
          <w:rFonts w:eastAsia="Calibri" w:cs="Helvetica-Light"/>
          <w:color w:val="000000"/>
          <w:szCs w:val="24"/>
        </w:rPr>
        <w:t>of approximately</w:t>
      </w:r>
      <w:r w:rsidRPr="00AA35F3">
        <w:rPr>
          <w:rFonts w:eastAsia="Calibri" w:cs="Helvetica-Light"/>
          <w:color w:val="000000"/>
          <w:szCs w:val="24"/>
        </w:rPr>
        <w:t xml:space="preserve"> £11m; and</w:t>
      </w:r>
    </w:p>
    <w:p w:rsidR="00AA35F3" w:rsidRPr="00AA35F3" w:rsidRDefault="00EE0166" w:rsidP="001D0484">
      <w:pPr>
        <w:numPr>
          <w:ilvl w:val="0"/>
          <w:numId w:val="9"/>
        </w:numPr>
        <w:autoSpaceDE w:val="0"/>
        <w:autoSpaceDN w:val="0"/>
        <w:adjustRightInd w:val="0"/>
        <w:spacing w:after="0"/>
        <w:ind w:left="284" w:hanging="284"/>
        <w:jc w:val="both"/>
        <w:rPr>
          <w:rFonts w:eastAsia="Calibri" w:cs="Helvetica-Light"/>
          <w:color w:val="000000"/>
          <w:szCs w:val="24"/>
        </w:rPr>
      </w:pPr>
      <w:r>
        <w:rPr>
          <w:rFonts w:eastAsia="Calibri" w:cs="Helvetica-Light"/>
          <w:color w:val="000000"/>
          <w:szCs w:val="24"/>
        </w:rPr>
        <w:t xml:space="preserve">Expected </w:t>
      </w:r>
      <w:r w:rsidR="001D0484">
        <w:rPr>
          <w:rFonts w:eastAsia="Calibri" w:cs="Helvetica-Light"/>
          <w:color w:val="000000"/>
          <w:szCs w:val="24"/>
        </w:rPr>
        <w:t>capital r</w:t>
      </w:r>
      <w:r w:rsidR="00AA35F3" w:rsidRPr="00AA35F3">
        <w:rPr>
          <w:rFonts w:eastAsia="Calibri" w:cs="Helvetica-Light"/>
          <w:color w:val="000000"/>
          <w:szCs w:val="24"/>
        </w:rPr>
        <w:t xml:space="preserve">eceipts from property other than Neighbourhood Centres </w:t>
      </w:r>
      <w:r>
        <w:rPr>
          <w:rFonts w:eastAsia="Calibri" w:cs="Helvetica-Light"/>
          <w:color w:val="000000"/>
          <w:szCs w:val="24"/>
        </w:rPr>
        <w:t>of approximately £11.5m</w:t>
      </w:r>
      <w:r w:rsidR="00AA35F3" w:rsidRPr="00AA35F3">
        <w:rPr>
          <w:rFonts w:eastAsia="Calibri" w:cs="Helvetica-Light"/>
          <w:color w:val="000000"/>
          <w:szCs w:val="24"/>
        </w:rPr>
        <w:t xml:space="preserve">. </w:t>
      </w:r>
    </w:p>
    <w:p w:rsidR="00AA35F3" w:rsidRPr="00AA35F3" w:rsidRDefault="00AA35F3" w:rsidP="001D0484">
      <w:pPr>
        <w:autoSpaceDE w:val="0"/>
        <w:autoSpaceDN w:val="0"/>
        <w:adjustRightInd w:val="0"/>
        <w:spacing w:after="0"/>
        <w:ind w:left="284" w:hanging="284"/>
        <w:jc w:val="both"/>
        <w:rPr>
          <w:rFonts w:eastAsia="Calibri" w:cs="Helvetica-Light"/>
          <w:color w:val="000000"/>
          <w:szCs w:val="24"/>
        </w:rPr>
      </w:pPr>
    </w:p>
    <w:p w:rsidR="00AA35F3" w:rsidRPr="00AA35F3" w:rsidRDefault="00AA35F3" w:rsidP="001D0484">
      <w:pPr>
        <w:autoSpaceDE w:val="0"/>
        <w:autoSpaceDN w:val="0"/>
        <w:adjustRightInd w:val="0"/>
        <w:spacing w:after="120"/>
        <w:jc w:val="both"/>
        <w:rPr>
          <w:rFonts w:eastAsia="Calibri" w:cs="Helvetica-Light"/>
          <w:color w:val="000000"/>
          <w:szCs w:val="24"/>
        </w:rPr>
      </w:pPr>
      <w:r w:rsidRPr="00AA35F3">
        <w:rPr>
          <w:rFonts w:eastAsia="Calibri" w:cs="Helvetica-Light"/>
          <w:color w:val="000000"/>
          <w:szCs w:val="24"/>
        </w:rPr>
        <w:t xml:space="preserve">The estimated figures for </w:t>
      </w:r>
      <w:r w:rsidR="001D0484">
        <w:rPr>
          <w:rFonts w:eastAsia="Calibri" w:cs="Helvetica-Light"/>
          <w:color w:val="000000"/>
          <w:szCs w:val="24"/>
        </w:rPr>
        <w:t>capital r</w:t>
      </w:r>
      <w:r w:rsidRPr="00AA35F3">
        <w:rPr>
          <w:rFonts w:eastAsia="Calibri" w:cs="Helvetica-Light"/>
          <w:color w:val="000000"/>
          <w:szCs w:val="24"/>
        </w:rPr>
        <w:t>eceipts detailed above could change as a result of:</w:t>
      </w:r>
    </w:p>
    <w:p w:rsidR="00AA35F3" w:rsidRPr="00AA35F3" w:rsidRDefault="00AA35F3" w:rsidP="001D0484">
      <w:pPr>
        <w:numPr>
          <w:ilvl w:val="0"/>
          <w:numId w:val="11"/>
        </w:numPr>
        <w:autoSpaceDE w:val="0"/>
        <w:autoSpaceDN w:val="0"/>
        <w:adjustRightInd w:val="0"/>
        <w:spacing w:after="0"/>
        <w:ind w:left="284" w:hanging="284"/>
        <w:jc w:val="both"/>
        <w:rPr>
          <w:rFonts w:eastAsia="Calibri" w:cs="Helvetica-Light"/>
          <w:color w:val="000000"/>
          <w:szCs w:val="24"/>
        </w:rPr>
      </w:pPr>
      <w:r w:rsidRPr="00AA35F3">
        <w:rPr>
          <w:rFonts w:eastAsia="Calibri" w:cs="Helvetica-Light"/>
          <w:color w:val="000000"/>
          <w:szCs w:val="24"/>
        </w:rPr>
        <w:t xml:space="preserve">Open market conditions at the point of sale of individual properties; </w:t>
      </w:r>
    </w:p>
    <w:p w:rsidR="00AA35F3" w:rsidRPr="00AA35F3" w:rsidRDefault="00AA35F3" w:rsidP="001D0484">
      <w:pPr>
        <w:numPr>
          <w:ilvl w:val="0"/>
          <w:numId w:val="11"/>
        </w:numPr>
        <w:autoSpaceDE w:val="0"/>
        <w:autoSpaceDN w:val="0"/>
        <w:adjustRightInd w:val="0"/>
        <w:spacing w:after="0"/>
        <w:ind w:left="284" w:hanging="284"/>
        <w:jc w:val="both"/>
        <w:rPr>
          <w:rFonts w:eastAsia="Calibri" w:cs="Helvetica-Light"/>
          <w:color w:val="000000"/>
          <w:szCs w:val="24"/>
        </w:rPr>
      </w:pPr>
      <w:r w:rsidRPr="00AA35F3">
        <w:rPr>
          <w:rFonts w:eastAsia="Calibri" w:cs="Helvetica-Light"/>
          <w:color w:val="000000"/>
          <w:szCs w:val="24"/>
        </w:rPr>
        <w:t>The outcome of the exercise currently ongoing by officers in Asset Management to apply the principles of the Property rationalisation strategy approved by Cabinet on 26</w:t>
      </w:r>
      <w:r w:rsidRPr="00AA35F3">
        <w:rPr>
          <w:rFonts w:eastAsia="Calibri" w:cs="Helvetica-Light"/>
          <w:color w:val="000000"/>
          <w:szCs w:val="24"/>
          <w:vertAlign w:val="superscript"/>
        </w:rPr>
        <w:t>th</w:t>
      </w:r>
      <w:r w:rsidRPr="00AA35F3">
        <w:rPr>
          <w:rFonts w:eastAsia="Calibri" w:cs="Helvetica-Light"/>
          <w:color w:val="000000"/>
          <w:szCs w:val="24"/>
        </w:rPr>
        <w:t xml:space="preserve"> November 2015; and</w:t>
      </w:r>
    </w:p>
    <w:p w:rsidR="00AA35F3" w:rsidRPr="00AA35F3" w:rsidRDefault="00AA35F3" w:rsidP="001D0484">
      <w:pPr>
        <w:numPr>
          <w:ilvl w:val="0"/>
          <w:numId w:val="11"/>
        </w:numPr>
        <w:autoSpaceDE w:val="0"/>
        <w:autoSpaceDN w:val="0"/>
        <w:adjustRightInd w:val="0"/>
        <w:spacing w:after="0"/>
        <w:ind w:left="284" w:hanging="284"/>
        <w:jc w:val="both"/>
        <w:rPr>
          <w:rFonts w:eastAsia="Calibri" w:cs="Helvetica-Light"/>
          <w:color w:val="000000"/>
          <w:szCs w:val="24"/>
        </w:rPr>
      </w:pPr>
      <w:r w:rsidRPr="00AA35F3">
        <w:rPr>
          <w:rFonts w:eastAsia="Calibri" w:cs="Helvetica-Light"/>
          <w:color w:val="000000"/>
          <w:szCs w:val="24"/>
        </w:rPr>
        <w:t xml:space="preserve">Proposals to transfer surplus properties to third party organisations at a nominal sum as an alternative to sale on the open market. </w:t>
      </w:r>
    </w:p>
    <w:p w:rsidR="0026320C" w:rsidRDefault="0026320C" w:rsidP="001D0484">
      <w:pPr>
        <w:autoSpaceDE w:val="0"/>
        <w:autoSpaceDN w:val="0"/>
        <w:adjustRightInd w:val="0"/>
        <w:spacing w:after="120"/>
        <w:ind w:left="284" w:hanging="284"/>
        <w:contextualSpacing/>
        <w:jc w:val="both"/>
        <w:rPr>
          <w:rFonts w:eastAsia="Calibri" w:cs="Helvetica-Light"/>
          <w:color w:val="000000"/>
          <w:szCs w:val="24"/>
        </w:rPr>
      </w:pPr>
    </w:p>
    <w:p w:rsidR="00AA35F3" w:rsidRPr="00766F10" w:rsidRDefault="00766F10" w:rsidP="001D0484">
      <w:pPr>
        <w:autoSpaceDE w:val="0"/>
        <w:autoSpaceDN w:val="0"/>
        <w:adjustRightInd w:val="0"/>
        <w:spacing w:after="0"/>
        <w:contextualSpacing/>
        <w:jc w:val="both"/>
        <w:rPr>
          <w:rFonts w:eastAsia="Calibri" w:cs="Helvetica-Light"/>
          <w:i/>
          <w:color w:val="000000"/>
          <w:szCs w:val="24"/>
        </w:rPr>
      </w:pPr>
      <w:r w:rsidRPr="00766F10">
        <w:rPr>
          <w:rFonts w:eastAsia="Calibri" w:cs="Helvetica-Light"/>
          <w:i/>
          <w:color w:val="000000"/>
          <w:szCs w:val="24"/>
        </w:rPr>
        <w:t>7.</w:t>
      </w:r>
      <w:r w:rsidR="00C95E4F">
        <w:rPr>
          <w:rFonts w:eastAsia="Calibri" w:cs="Helvetica-Light"/>
          <w:i/>
          <w:color w:val="000000"/>
          <w:szCs w:val="24"/>
        </w:rPr>
        <w:t>2</w:t>
      </w:r>
      <w:r w:rsidRPr="00766F10">
        <w:rPr>
          <w:rFonts w:eastAsia="Calibri" w:cs="Helvetica-Light"/>
          <w:i/>
          <w:color w:val="000000"/>
          <w:szCs w:val="24"/>
        </w:rPr>
        <w:t xml:space="preserve">.2 </w:t>
      </w:r>
      <w:r w:rsidR="00AA35F3" w:rsidRPr="00766F10">
        <w:rPr>
          <w:rFonts w:eastAsia="Calibri" w:cs="Helvetica-Light"/>
          <w:i/>
          <w:color w:val="000000"/>
          <w:szCs w:val="24"/>
        </w:rPr>
        <w:t>Proposed funding</w:t>
      </w:r>
    </w:p>
    <w:p w:rsidR="00AA35F3" w:rsidRPr="00AA35F3" w:rsidRDefault="00AA35F3" w:rsidP="001D0484">
      <w:pPr>
        <w:autoSpaceDE w:val="0"/>
        <w:autoSpaceDN w:val="0"/>
        <w:adjustRightInd w:val="0"/>
        <w:spacing w:after="0"/>
        <w:jc w:val="both"/>
        <w:rPr>
          <w:rFonts w:eastAsia="Calibri" w:cs="Helvetica-Light"/>
          <w:color w:val="FF0000"/>
          <w:szCs w:val="24"/>
        </w:rPr>
      </w:pPr>
      <w:r w:rsidRPr="00AA35F3">
        <w:rPr>
          <w:rFonts w:eastAsia="Calibri" w:cs="Helvetica-Light"/>
          <w:color w:val="FF0000"/>
          <w:szCs w:val="24"/>
        </w:rPr>
        <w:t xml:space="preserve"> </w:t>
      </w:r>
    </w:p>
    <w:p w:rsidR="00AA35F3" w:rsidRDefault="00A7763F" w:rsidP="001D0484">
      <w:pPr>
        <w:autoSpaceDE w:val="0"/>
        <w:autoSpaceDN w:val="0"/>
        <w:adjustRightInd w:val="0"/>
        <w:spacing w:after="0"/>
        <w:jc w:val="both"/>
        <w:rPr>
          <w:rFonts w:eastAsia="Calibri" w:cs="Helvetica-Light"/>
          <w:color w:val="000000"/>
          <w:szCs w:val="24"/>
        </w:rPr>
      </w:pPr>
      <w:r>
        <w:rPr>
          <w:rFonts w:eastAsia="Calibri" w:cs="Helvetica-Light"/>
          <w:color w:val="000000"/>
          <w:szCs w:val="24"/>
        </w:rPr>
        <w:t>Table 12</w:t>
      </w:r>
      <w:r w:rsidR="00AA35F3" w:rsidRPr="00AA35F3">
        <w:rPr>
          <w:rFonts w:eastAsia="Calibri" w:cs="Helvetica-Light"/>
          <w:color w:val="000000"/>
          <w:szCs w:val="24"/>
        </w:rPr>
        <w:t xml:space="preserve"> </w:t>
      </w:r>
      <w:r w:rsidR="001D0484">
        <w:rPr>
          <w:rFonts w:eastAsia="Calibri" w:cs="Helvetica-Light"/>
          <w:color w:val="000000"/>
          <w:szCs w:val="24"/>
        </w:rPr>
        <w:t>overleaf</w:t>
      </w:r>
      <w:r w:rsidR="00AA35F3" w:rsidRPr="00AA35F3">
        <w:rPr>
          <w:rFonts w:eastAsia="Calibri" w:cs="Helvetica-Light"/>
          <w:color w:val="000000"/>
          <w:szCs w:val="24"/>
        </w:rPr>
        <w:t xml:space="preserve"> summarises the funding sources for the capita</w:t>
      </w:r>
      <w:r w:rsidR="0026320C">
        <w:rPr>
          <w:rFonts w:eastAsia="Calibri" w:cs="Helvetica-Light"/>
          <w:color w:val="000000"/>
          <w:szCs w:val="24"/>
        </w:rPr>
        <w:t>l programme up to</w:t>
      </w:r>
      <w:r w:rsidR="00AA35F3" w:rsidRPr="00AA35F3">
        <w:rPr>
          <w:rFonts w:eastAsia="Calibri" w:cs="Helvetica-Light"/>
          <w:color w:val="000000"/>
          <w:szCs w:val="24"/>
        </w:rPr>
        <w:t xml:space="preserve"> 2018/19:</w:t>
      </w:r>
    </w:p>
    <w:p w:rsidR="00EE0166" w:rsidRDefault="00EE0166" w:rsidP="001D0484">
      <w:pPr>
        <w:autoSpaceDE w:val="0"/>
        <w:autoSpaceDN w:val="0"/>
        <w:adjustRightInd w:val="0"/>
        <w:spacing w:after="0"/>
        <w:jc w:val="both"/>
        <w:rPr>
          <w:rFonts w:eastAsia="Calibri" w:cs="Helvetica-Light"/>
          <w:color w:val="000000"/>
          <w:szCs w:val="24"/>
        </w:rPr>
      </w:pPr>
    </w:p>
    <w:p w:rsidR="00AA35F3" w:rsidRPr="00766F10" w:rsidRDefault="00A7763F" w:rsidP="001D0484">
      <w:pPr>
        <w:autoSpaceDE w:val="0"/>
        <w:autoSpaceDN w:val="0"/>
        <w:adjustRightInd w:val="0"/>
        <w:spacing w:after="0"/>
        <w:jc w:val="both"/>
        <w:rPr>
          <w:rFonts w:eastAsia="Calibri" w:cs="Helvetica-Light"/>
          <w:b/>
          <w:color w:val="000000"/>
          <w:szCs w:val="24"/>
        </w:rPr>
      </w:pPr>
      <w:r>
        <w:rPr>
          <w:rFonts w:eastAsia="Calibri" w:cs="Helvetica-Light"/>
          <w:b/>
          <w:color w:val="000000"/>
          <w:szCs w:val="24"/>
        </w:rP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1260"/>
        <w:gridCol w:w="1260"/>
        <w:gridCol w:w="1259"/>
        <w:gridCol w:w="1186"/>
      </w:tblGrid>
      <w:tr w:rsidR="00AA35F3" w:rsidRPr="004508B4" w:rsidTr="004508B4">
        <w:trPr>
          <w:trHeight w:val="660"/>
        </w:trPr>
        <w:tc>
          <w:tcPr>
            <w:tcW w:w="4051" w:type="dxa"/>
            <w:shd w:val="clear" w:color="auto" w:fill="BFBFBF" w:themeFill="background1" w:themeFillShade="BF"/>
            <w:vAlign w:val="center"/>
          </w:tcPr>
          <w:p w:rsidR="00AA35F3" w:rsidRPr="004508B4" w:rsidRDefault="00AA35F3" w:rsidP="001D0484">
            <w:pPr>
              <w:autoSpaceDE w:val="0"/>
              <w:autoSpaceDN w:val="0"/>
              <w:adjustRightInd w:val="0"/>
              <w:spacing w:after="0"/>
              <w:jc w:val="both"/>
              <w:rPr>
                <w:rFonts w:eastAsia="Calibri" w:cs="Arial"/>
                <w:b/>
                <w:color w:val="000000"/>
                <w:sz w:val="22"/>
              </w:rPr>
            </w:pPr>
            <w:r w:rsidRPr="004508B4">
              <w:rPr>
                <w:rFonts w:eastAsia="Calibri" w:cs="Arial"/>
                <w:b/>
                <w:color w:val="000000"/>
                <w:sz w:val="22"/>
              </w:rPr>
              <w:t>Capital Programme Funding</w:t>
            </w:r>
          </w:p>
        </w:tc>
        <w:tc>
          <w:tcPr>
            <w:tcW w:w="1260" w:type="dxa"/>
            <w:shd w:val="clear" w:color="auto" w:fill="BFBFBF" w:themeFill="background1" w:themeFillShade="BF"/>
            <w:vAlign w:val="center"/>
          </w:tcPr>
          <w:p w:rsidR="00AA35F3" w:rsidRPr="004508B4" w:rsidRDefault="00AA35F3" w:rsidP="001D0484">
            <w:pPr>
              <w:autoSpaceDE w:val="0"/>
              <w:autoSpaceDN w:val="0"/>
              <w:adjustRightInd w:val="0"/>
              <w:spacing w:after="0"/>
              <w:jc w:val="center"/>
              <w:rPr>
                <w:rFonts w:eastAsia="Calibri" w:cs="Arial"/>
                <w:b/>
                <w:color w:val="000000"/>
                <w:sz w:val="22"/>
              </w:rPr>
            </w:pPr>
            <w:r w:rsidRPr="004508B4">
              <w:rPr>
                <w:rFonts w:eastAsia="Calibri" w:cs="Arial"/>
                <w:b/>
                <w:color w:val="000000"/>
                <w:sz w:val="22"/>
              </w:rPr>
              <w:t>2016/17 £m</w:t>
            </w:r>
          </w:p>
        </w:tc>
        <w:tc>
          <w:tcPr>
            <w:tcW w:w="1260" w:type="dxa"/>
            <w:shd w:val="clear" w:color="auto" w:fill="BFBFBF" w:themeFill="background1" w:themeFillShade="BF"/>
            <w:vAlign w:val="center"/>
          </w:tcPr>
          <w:p w:rsidR="00AA35F3" w:rsidRPr="004508B4" w:rsidRDefault="00AA35F3" w:rsidP="001D0484">
            <w:pPr>
              <w:autoSpaceDE w:val="0"/>
              <w:autoSpaceDN w:val="0"/>
              <w:adjustRightInd w:val="0"/>
              <w:spacing w:after="0"/>
              <w:jc w:val="center"/>
              <w:rPr>
                <w:rFonts w:eastAsia="Calibri" w:cs="Arial"/>
                <w:b/>
                <w:color w:val="000000"/>
                <w:sz w:val="22"/>
              </w:rPr>
            </w:pPr>
            <w:r w:rsidRPr="004508B4">
              <w:rPr>
                <w:rFonts w:eastAsia="Calibri" w:cs="Arial"/>
                <w:b/>
                <w:color w:val="000000"/>
                <w:sz w:val="22"/>
              </w:rPr>
              <w:t>2017/18 £m</w:t>
            </w:r>
          </w:p>
        </w:tc>
        <w:tc>
          <w:tcPr>
            <w:tcW w:w="1259" w:type="dxa"/>
            <w:shd w:val="clear" w:color="auto" w:fill="BFBFBF" w:themeFill="background1" w:themeFillShade="BF"/>
            <w:vAlign w:val="center"/>
          </w:tcPr>
          <w:p w:rsidR="00AA35F3" w:rsidRPr="004508B4" w:rsidRDefault="00AA35F3" w:rsidP="001D0484">
            <w:pPr>
              <w:autoSpaceDE w:val="0"/>
              <w:autoSpaceDN w:val="0"/>
              <w:adjustRightInd w:val="0"/>
              <w:spacing w:after="0"/>
              <w:jc w:val="center"/>
              <w:rPr>
                <w:rFonts w:eastAsia="Calibri" w:cs="Arial"/>
                <w:b/>
                <w:color w:val="000000"/>
                <w:sz w:val="22"/>
              </w:rPr>
            </w:pPr>
            <w:r w:rsidRPr="004508B4">
              <w:rPr>
                <w:rFonts w:eastAsia="Calibri" w:cs="Arial"/>
                <w:b/>
                <w:color w:val="000000"/>
                <w:sz w:val="22"/>
              </w:rPr>
              <w:t>2018/19 £m</w:t>
            </w:r>
          </w:p>
        </w:tc>
        <w:tc>
          <w:tcPr>
            <w:tcW w:w="1186" w:type="dxa"/>
            <w:shd w:val="clear" w:color="auto" w:fill="BFBFBF" w:themeFill="background1" w:themeFillShade="BF"/>
            <w:vAlign w:val="center"/>
          </w:tcPr>
          <w:p w:rsidR="00AA35F3" w:rsidRPr="004508B4" w:rsidRDefault="00AA35F3" w:rsidP="001D0484">
            <w:pPr>
              <w:autoSpaceDE w:val="0"/>
              <w:autoSpaceDN w:val="0"/>
              <w:adjustRightInd w:val="0"/>
              <w:spacing w:after="0"/>
              <w:jc w:val="center"/>
              <w:rPr>
                <w:rFonts w:eastAsia="Calibri" w:cs="Arial"/>
                <w:b/>
                <w:color w:val="000000"/>
                <w:sz w:val="22"/>
              </w:rPr>
            </w:pPr>
            <w:r w:rsidRPr="004508B4">
              <w:rPr>
                <w:rFonts w:eastAsia="Calibri" w:cs="Arial"/>
                <w:b/>
                <w:color w:val="000000"/>
                <w:sz w:val="22"/>
              </w:rPr>
              <w:t>Total</w:t>
            </w:r>
          </w:p>
          <w:p w:rsidR="00AA35F3" w:rsidRPr="004508B4" w:rsidRDefault="00AA35F3" w:rsidP="001D0484">
            <w:pPr>
              <w:autoSpaceDE w:val="0"/>
              <w:autoSpaceDN w:val="0"/>
              <w:adjustRightInd w:val="0"/>
              <w:spacing w:after="0"/>
              <w:jc w:val="center"/>
              <w:rPr>
                <w:rFonts w:eastAsia="Calibri" w:cs="Arial"/>
                <w:b/>
                <w:color w:val="000000"/>
                <w:sz w:val="22"/>
              </w:rPr>
            </w:pPr>
            <w:r w:rsidRPr="004508B4">
              <w:rPr>
                <w:rFonts w:eastAsia="Calibri" w:cs="Arial"/>
                <w:b/>
                <w:color w:val="000000"/>
                <w:sz w:val="22"/>
              </w:rPr>
              <w:t xml:space="preserve"> £m</w:t>
            </w:r>
          </w:p>
        </w:tc>
      </w:tr>
      <w:tr w:rsidR="00AA35F3" w:rsidRPr="004508B4" w:rsidTr="004508B4">
        <w:trPr>
          <w:trHeight w:val="441"/>
        </w:trPr>
        <w:tc>
          <w:tcPr>
            <w:tcW w:w="4051" w:type="dxa"/>
            <w:shd w:val="clear" w:color="auto" w:fill="auto"/>
            <w:vAlign w:val="center"/>
          </w:tcPr>
          <w:p w:rsidR="00AA35F3" w:rsidRPr="004508B4" w:rsidRDefault="00AA35F3" w:rsidP="001D0484">
            <w:pPr>
              <w:autoSpaceDE w:val="0"/>
              <w:autoSpaceDN w:val="0"/>
              <w:adjustRightInd w:val="0"/>
              <w:spacing w:after="0"/>
              <w:jc w:val="both"/>
              <w:rPr>
                <w:rFonts w:eastAsia="Calibri" w:cs="Arial"/>
                <w:color w:val="000000"/>
                <w:sz w:val="22"/>
              </w:rPr>
            </w:pPr>
            <w:r w:rsidRPr="004508B4">
              <w:rPr>
                <w:rFonts w:eastAsia="Calibri" w:cs="Arial"/>
                <w:color w:val="000000"/>
                <w:sz w:val="22"/>
              </w:rPr>
              <w:t>Capital Programme per table 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sz w:val="22"/>
              </w:rPr>
            </w:pPr>
            <w:r w:rsidRPr="004508B4">
              <w:rPr>
                <w:rFonts w:eastAsia="Calibri" w:cs="Arial"/>
                <w:b/>
                <w:bCs/>
                <w:sz w:val="22"/>
              </w:rPr>
              <w:t>99.761</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sz w:val="22"/>
              </w:rPr>
            </w:pPr>
            <w:r w:rsidRPr="004508B4">
              <w:rPr>
                <w:rFonts w:eastAsia="Calibri" w:cs="Arial"/>
                <w:b/>
                <w:bCs/>
                <w:sz w:val="22"/>
              </w:rPr>
              <w:t>74.690</w:t>
            </w:r>
          </w:p>
        </w:tc>
        <w:tc>
          <w:tcPr>
            <w:tcW w:w="1259"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sz w:val="22"/>
              </w:rPr>
            </w:pPr>
            <w:r w:rsidRPr="004508B4">
              <w:rPr>
                <w:rFonts w:eastAsia="Calibri" w:cs="Arial"/>
                <w:b/>
                <w:bCs/>
                <w:sz w:val="22"/>
              </w:rPr>
              <w:t>49.621</w:t>
            </w: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sz w:val="22"/>
              </w:rPr>
            </w:pPr>
            <w:r w:rsidRPr="004508B4">
              <w:rPr>
                <w:rFonts w:eastAsia="Calibri" w:cs="Arial"/>
                <w:b/>
                <w:bCs/>
                <w:sz w:val="22"/>
              </w:rPr>
              <w:t>224.072</w:t>
            </w:r>
          </w:p>
        </w:tc>
      </w:tr>
      <w:tr w:rsidR="00AA35F3" w:rsidRPr="004508B4" w:rsidTr="004508B4">
        <w:trPr>
          <w:trHeight w:val="419"/>
        </w:trPr>
        <w:tc>
          <w:tcPr>
            <w:tcW w:w="4051" w:type="dxa"/>
            <w:shd w:val="clear" w:color="auto" w:fill="BFBFBF" w:themeFill="background1" w:themeFillShade="BF"/>
            <w:vAlign w:val="center"/>
          </w:tcPr>
          <w:p w:rsidR="00AA35F3" w:rsidRPr="004508B4" w:rsidRDefault="00AA35F3" w:rsidP="001D0484">
            <w:pPr>
              <w:autoSpaceDE w:val="0"/>
              <w:autoSpaceDN w:val="0"/>
              <w:adjustRightInd w:val="0"/>
              <w:spacing w:after="0"/>
              <w:jc w:val="both"/>
              <w:rPr>
                <w:rFonts w:eastAsia="Calibri" w:cs="Arial"/>
                <w:b/>
                <w:color w:val="000000"/>
                <w:sz w:val="22"/>
              </w:rPr>
            </w:pPr>
            <w:r w:rsidRPr="004508B4">
              <w:rPr>
                <w:rFonts w:eastAsia="Calibri" w:cs="Arial"/>
                <w:b/>
                <w:color w:val="000000"/>
                <w:sz w:val="22"/>
              </w:rPr>
              <w:t>less</w:t>
            </w:r>
          </w:p>
        </w:tc>
        <w:tc>
          <w:tcPr>
            <w:tcW w:w="1260" w:type="dxa"/>
            <w:shd w:val="clear" w:color="auto" w:fill="BFBFBF" w:themeFill="background1" w:themeFillShade="BF"/>
            <w:vAlign w:val="center"/>
          </w:tcPr>
          <w:p w:rsidR="00AA35F3" w:rsidRPr="004508B4" w:rsidRDefault="00AA35F3" w:rsidP="001D0484">
            <w:pPr>
              <w:autoSpaceDE w:val="0"/>
              <w:autoSpaceDN w:val="0"/>
              <w:adjustRightInd w:val="0"/>
              <w:spacing w:after="0"/>
              <w:jc w:val="both"/>
              <w:rPr>
                <w:rFonts w:eastAsia="Calibri" w:cs="Arial"/>
                <w:color w:val="000000"/>
                <w:sz w:val="22"/>
              </w:rPr>
            </w:pPr>
          </w:p>
        </w:tc>
        <w:tc>
          <w:tcPr>
            <w:tcW w:w="1260" w:type="dxa"/>
            <w:shd w:val="clear" w:color="auto" w:fill="BFBFBF" w:themeFill="background1" w:themeFillShade="BF"/>
            <w:vAlign w:val="center"/>
          </w:tcPr>
          <w:p w:rsidR="00AA35F3" w:rsidRPr="004508B4" w:rsidRDefault="00AA35F3" w:rsidP="001D0484">
            <w:pPr>
              <w:autoSpaceDE w:val="0"/>
              <w:autoSpaceDN w:val="0"/>
              <w:adjustRightInd w:val="0"/>
              <w:spacing w:after="0"/>
              <w:jc w:val="both"/>
              <w:rPr>
                <w:rFonts w:eastAsia="Calibri" w:cs="Arial"/>
                <w:color w:val="000000"/>
                <w:sz w:val="22"/>
              </w:rPr>
            </w:pPr>
          </w:p>
        </w:tc>
        <w:tc>
          <w:tcPr>
            <w:tcW w:w="1259" w:type="dxa"/>
            <w:shd w:val="clear" w:color="auto" w:fill="BFBFBF" w:themeFill="background1" w:themeFillShade="BF"/>
            <w:vAlign w:val="center"/>
          </w:tcPr>
          <w:p w:rsidR="00AA35F3" w:rsidRPr="004508B4" w:rsidRDefault="00AA35F3" w:rsidP="001D0484">
            <w:pPr>
              <w:autoSpaceDE w:val="0"/>
              <w:autoSpaceDN w:val="0"/>
              <w:adjustRightInd w:val="0"/>
              <w:spacing w:after="0"/>
              <w:jc w:val="both"/>
              <w:rPr>
                <w:rFonts w:eastAsia="Calibri" w:cs="Arial"/>
                <w:color w:val="000000"/>
                <w:sz w:val="22"/>
              </w:rPr>
            </w:pPr>
          </w:p>
        </w:tc>
        <w:tc>
          <w:tcPr>
            <w:tcW w:w="1186" w:type="dxa"/>
            <w:shd w:val="clear" w:color="auto" w:fill="BFBFBF" w:themeFill="background1" w:themeFillShade="BF"/>
            <w:vAlign w:val="center"/>
          </w:tcPr>
          <w:p w:rsidR="00AA35F3" w:rsidRPr="004508B4" w:rsidRDefault="00AA35F3" w:rsidP="001D0484">
            <w:pPr>
              <w:autoSpaceDE w:val="0"/>
              <w:autoSpaceDN w:val="0"/>
              <w:adjustRightInd w:val="0"/>
              <w:spacing w:after="0"/>
              <w:jc w:val="both"/>
              <w:rPr>
                <w:rFonts w:eastAsia="Calibri" w:cs="Arial"/>
                <w:color w:val="000000"/>
                <w:sz w:val="22"/>
              </w:rPr>
            </w:pPr>
          </w:p>
        </w:tc>
      </w:tr>
      <w:tr w:rsidR="00AA35F3" w:rsidRPr="004508B4" w:rsidTr="004508B4">
        <w:trPr>
          <w:trHeight w:val="694"/>
        </w:trPr>
        <w:tc>
          <w:tcPr>
            <w:tcW w:w="4051" w:type="dxa"/>
            <w:shd w:val="clear" w:color="auto" w:fill="auto"/>
            <w:vAlign w:val="center"/>
          </w:tcPr>
          <w:p w:rsidR="00AA35F3" w:rsidRPr="004508B4" w:rsidRDefault="00AA35F3" w:rsidP="001D0484">
            <w:pPr>
              <w:autoSpaceDE w:val="0"/>
              <w:autoSpaceDN w:val="0"/>
              <w:adjustRightInd w:val="0"/>
              <w:spacing w:after="0"/>
              <w:jc w:val="both"/>
              <w:rPr>
                <w:rFonts w:eastAsia="Calibri" w:cs="Arial"/>
                <w:color w:val="000000"/>
                <w:sz w:val="22"/>
              </w:rPr>
            </w:pPr>
            <w:r w:rsidRPr="004508B4">
              <w:rPr>
                <w:rFonts w:eastAsia="Calibri" w:cs="Arial"/>
                <w:color w:val="000000"/>
                <w:sz w:val="22"/>
              </w:rPr>
              <w:t>Capital receipts earmarked for School Playing Fields programme</w:t>
            </w:r>
          </w:p>
        </w:tc>
        <w:tc>
          <w:tcPr>
            <w:tcW w:w="1260" w:type="dxa"/>
            <w:shd w:val="clear" w:color="auto" w:fill="auto"/>
            <w:vAlign w:val="center"/>
          </w:tcPr>
          <w:p w:rsidR="00AA35F3" w:rsidRPr="004508B4" w:rsidRDefault="00AA35F3" w:rsidP="001D0484">
            <w:pPr>
              <w:autoSpaceDE w:val="0"/>
              <w:autoSpaceDN w:val="0"/>
              <w:adjustRightInd w:val="0"/>
              <w:spacing w:after="0"/>
              <w:jc w:val="center"/>
              <w:rPr>
                <w:rFonts w:eastAsia="Calibri" w:cs="Arial"/>
                <w:color w:val="000000"/>
                <w:sz w:val="22"/>
              </w:rPr>
            </w:pPr>
            <w:r w:rsidRPr="004508B4">
              <w:rPr>
                <w:rFonts w:eastAsia="Calibri" w:cs="Arial"/>
                <w:color w:val="000000"/>
                <w:sz w:val="22"/>
              </w:rPr>
              <w:t>(1.036)</w:t>
            </w:r>
          </w:p>
        </w:tc>
        <w:tc>
          <w:tcPr>
            <w:tcW w:w="1260" w:type="dxa"/>
            <w:shd w:val="clear" w:color="auto" w:fill="auto"/>
            <w:vAlign w:val="center"/>
          </w:tcPr>
          <w:p w:rsidR="00AA35F3" w:rsidRPr="004508B4" w:rsidRDefault="00AA35F3" w:rsidP="001D0484">
            <w:pPr>
              <w:autoSpaceDE w:val="0"/>
              <w:autoSpaceDN w:val="0"/>
              <w:adjustRightInd w:val="0"/>
              <w:spacing w:after="0"/>
              <w:jc w:val="center"/>
              <w:rPr>
                <w:rFonts w:eastAsia="Calibri" w:cs="Arial"/>
                <w:color w:val="000000"/>
                <w:sz w:val="22"/>
              </w:rPr>
            </w:pPr>
          </w:p>
        </w:tc>
        <w:tc>
          <w:tcPr>
            <w:tcW w:w="1259" w:type="dxa"/>
            <w:shd w:val="clear" w:color="auto" w:fill="auto"/>
            <w:vAlign w:val="center"/>
          </w:tcPr>
          <w:p w:rsidR="00AA35F3" w:rsidRPr="004508B4" w:rsidRDefault="00AA35F3" w:rsidP="001D0484">
            <w:pPr>
              <w:autoSpaceDE w:val="0"/>
              <w:autoSpaceDN w:val="0"/>
              <w:adjustRightInd w:val="0"/>
              <w:spacing w:after="0"/>
              <w:jc w:val="center"/>
              <w:rPr>
                <w:rFonts w:eastAsia="Calibri" w:cs="Arial"/>
                <w:color w:val="000000"/>
                <w:sz w:val="22"/>
              </w:rPr>
            </w:pPr>
          </w:p>
        </w:tc>
        <w:tc>
          <w:tcPr>
            <w:tcW w:w="1186" w:type="dxa"/>
            <w:shd w:val="clear" w:color="auto" w:fill="auto"/>
            <w:vAlign w:val="center"/>
          </w:tcPr>
          <w:p w:rsidR="00AA35F3" w:rsidRPr="004508B4" w:rsidRDefault="00AA35F3" w:rsidP="001D0484">
            <w:pPr>
              <w:autoSpaceDE w:val="0"/>
              <w:autoSpaceDN w:val="0"/>
              <w:adjustRightInd w:val="0"/>
              <w:spacing w:after="0"/>
              <w:jc w:val="center"/>
              <w:rPr>
                <w:rFonts w:eastAsia="Calibri" w:cs="Arial"/>
                <w:b/>
                <w:color w:val="000000"/>
                <w:sz w:val="22"/>
              </w:rPr>
            </w:pPr>
            <w:r w:rsidRPr="004508B4">
              <w:rPr>
                <w:rFonts w:eastAsia="Calibri" w:cs="Arial"/>
                <w:b/>
                <w:color w:val="000000"/>
                <w:sz w:val="22"/>
              </w:rPr>
              <w:t>(1.036)</w:t>
            </w:r>
          </w:p>
        </w:tc>
      </w:tr>
      <w:tr w:rsidR="00AA35F3" w:rsidRPr="004508B4" w:rsidTr="004508B4">
        <w:trPr>
          <w:trHeight w:val="690"/>
        </w:trPr>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both"/>
              <w:rPr>
                <w:rFonts w:eastAsia="Calibri" w:cs="Arial"/>
                <w:b/>
                <w:bCs/>
                <w:color w:val="000000"/>
                <w:sz w:val="22"/>
              </w:rPr>
            </w:pPr>
            <w:r w:rsidRPr="004508B4">
              <w:rPr>
                <w:rFonts w:eastAsia="Calibri" w:cs="Arial"/>
                <w:b/>
                <w:bCs/>
                <w:color w:val="000000"/>
                <w:sz w:val="22"/>
              </w:rPr>
              <w:t xml:space="preserve">Single Capital Pot Grants confirmed by </w:t>
            </w:r>
            <w:proofErr w:type="spellStart"/>
            <w:r w:rsidRPr="004508B4">
              <w:rPr>
                <w:rFonts w:eastAsia="Calibri" w:cs="Arial"/>
                <w:b/>
                <w:bCs/>
                <w:color w:val="000000"/>
                <w:sz w:val="22"/>
              </w:rPr>
              <w:t>DfE</w:t>
            </w:r>
            <w:proofErr w:type="spellEnd"/>
            <w:r w:rsidRPr="004508B4">
              <w:rPr>
                <w:rFonts w:eastAsia="Calibri" w:cs="Arial"/>
                <w:b/>
                <w:bCs/>
                <w:color w:val="000000"/>
                <w:sz w:val="22"/>
              </w:rPr>
              <w:t xml:space="preserve"> and currently on </w:t>
            </w:r>
            <w:proofErr w:type="spellStart"/>
            <w:r w:rsidRPr="004508B4">
              <w:rPr>
                <w:rFonts w:eastAsia="Calibri" w:cs="Arial"/>
                <w:b/>
                <w:bCs/>
                <w:color w:val="000000"/>
                <w:sz w:val="22"/>
              </w:rPr>
              <w:t>DfE</w:t>
            </w:r>
            <w:proofErr w:type="spellEnd"/>
            <w:r w:rsidRPr="004508B4">
              <w:rPr>
                <w:rFonts w:eastAsia="Calibri" w:cs="Arial"/>
                <w:b/>
                <w:bCs/>
                <w:color w:val="000000"/>
                <w:sz w:val="22"/>
              </w:rPr>
              <w:t xml:space="preserve"> website:</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259"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color w:val="000000"/>
                <w:sz w:val="22"/>
              </w:rPr>
            </w:pPr>
          </w:p>
        </w:tc>
      </w:tr>
      <w:tr w:rsidR="00AA35F3" w:rsidRPr="004508B4" w:rsidTr="007F0882">
        <w:trPr>
          <w:trHeight w:val="703"/>
        </w:trPr>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both"/>
              <w:rPr>
                <w:rFonts w:eastAsia="Calibri" w:cs="Arial"/>
                <w:b/>
                <w:bCs/>
                <w:color w:val="000000"/>
                <w:sz w:val="22"/>
              </w:rPr>
            </w:pPr>
            <w:r w:rsidRPr="004508B4">
              <w:rPr>
                <w:rFonts w:eastAsia="Calibri" w:cs="Arial"/>
                <w:bCs/>
                <w:color w:val="000000"/>
                <w:sz w:val="22"/>
              </w:rPr>
              <w:t>SCP Schools  Basic Need</w:t>
            </w:r>
            <w:r w:rsidRPr="004508B4">
              <w:rPr>
                <w:rFonts w:eastAsia="Calibri" w:cs="Arial"/>
                <w:b/>
                <w:bCs/>
                <w:color w:val="000000"/>
                <w:sz w:val="22"/>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(8.891)</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(14.484)</w:t>
            </w:r>
          </w:p>
        </w:tc>
        <w:tc>
          <w:tcPr>
            <w:tcW w:w="1259"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(14.522)</w:t>
            </w: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color w:val="000000"/>
                <w:sz w:val="22"/>
              </w:rPr>
            </w:pPr>
            <w:r w:rsidRPr="004508B4">
              <w:rPr>
                <w:rFonts w:eastAsia="Calibri" w:cs="Arial"/>
                <w:b/>
                <w:bCs/>
                <w:color w:val="000000"/>
                <w:sz w:val="22"/>
              </w:rPr>
              <w:t>(37.897)</w:t>
            </w:r>
          </w:p>
        </w:tc>
      </w:tr>
      <w:tr w:rsidR="00AA35F3" w:rsidRPr="004508B4" w:rsidTr="007F0882">
        <w:trPr>
          <w:trHeight w:val="703"/>
        </w:trPr>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7F0882" w:rsidP="007F0882">
            <w:pPr>
              <w:autoSpaceDE w:val="0"/>
              <w:autoSpaceDN w:val="0"/>
              <w:adjustRightInd w:val="0"/>
              <w:spacing w:after="0"/>
              <w:jc w:val="both"/>
              <w:rPr>
                <w:rFonts w:eastAsia="Calibri" w:cs="Arial"/>
                <w:bCs/>
                <w:color w:val="000000"/>
                <w:sz w:val="22"/>
              </w:rPr>
            </w:pPr>
            <w:r>
              <w:rPr>
                <w:rFonts w:eastAsia="Calibri" w:cs="Arial"/>
                <w:bCs/>
                <w:color w:val="000000"/>
                <w:sz w:val="22"/>
              </w:rPr>
              <w:t>SCP Highway maintenance</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(20.514)</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(18.567)</w:t>
            </w:r>
          </w:p>
        </w:tc>
        <w:tc>
          <w:tcPr>
            <w:tcW w:w="1259"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color w:val="000000"/>
                <w:sz w:val="22"/>
              </w:rPr>
            </w:pPr>
            <w:r w:rsidRPr="004508B4">
              <w:rPr>
                <w:rFonts w:eastAsia="Calibri" w:cs="Arial"/>
                <w:b/>
                <w:bCs/>
                <w:color w:val="000000"/>
                <w:sz w:val="22"/>
              </w:rPr>
              <w:t>(39.081)</w:t>
            </w:r>
          </w:p>
        </w:tc>
      </w:tr>
      <w:tr w:rsidR="00AA35F3" w:rsidRPr="004508B4" w:rsidTr="007F0882">
        <w:trPr>
          <w:trHeight w:val="699"/>
        </w:trPr>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both"/>
              <w:rPr>
                <w:rFonts w:eastAsia="Calibri" w:cs="Arial"/>
                <w:bCs/>
                <w:color w:val="000000"/>
                <w:sz w:val="22"/>
              </w:rPr>
            </w:pPr>
            <w:r w:rsidRPr="004508B4">
              <w:rPr>
                <w:rFonts w:eastAsia="Calibri" w:cs="Arial"/>
                <w:bCs/>
                <w:color w:val="000000"/>
                <w:sz w:val="22"/>
              </w:rPr>
              <w:lastRenderedPageBreak/>
              <w:t>SCP Transport (L</w:t>
            </w:r>
            <w:r w:rsidR="007F0882">
              <w:rPr>
                <w:rFonts w:eastAsia="Calibri" w:cs="Arial"/>
                <w:bCs/>
                <w:color w:val="000000"/>
                <w:sz w:val="22"/>
              </w:rPr>
              <w:t xml:space="preserve">ocal </w:t>
            </w:r>
            <w:r w:rsidRPr="004508B4">
              <w:rPr>
                <w:rFonts w:eastAsia="Calibri" w:cs="Arial"/>
                <w:bCs/>
                <w:color w:val="000000"/>
                <w:sz w:val="22"/>
              </w:rPr>
              <w:t>T</w:t>
            </w:r>
            <w:r w:rsidR="007F0882">
              <w:rPr>
                <w:rFonts w:eastAsia="Calibri" w:cs="Arial"/>
                <w:bCs/>
                <w:color w:val="000000"/>
                <w:sz w:val="22"/>
              </w:rPr>
              <w:t xml:space="preserve">ransport </w:t>
            </w:r>
            <w:r w:rsidRPr="004508B4">
              <w:rPr>
                <w:rFonts w:eastAsia="Calibri" w:cs="Arial"/>
                <w:bCs/>
                <w:color w:val="000000"/>
                <w:sz w:val="22"/>
              </w:rPr>
              <w:t>P</w:t>
            </w:r>
            <w:r w:rsidR="007F0882">
              <w:rPr>
                <w:rFonts w:eastAsia="Calibri" w:cs="Arial"/>
                <w:bCs/>
                <w:color w:val="000000"/>
                <w:sz w:val="22"/>
              </w:rPr>
              <w:t>lan</w:t>
            </w:r>
            <w:r w:rsidRPr="004508B4">
              <w:rPr>
                <w:rFonts w:eastAsia="Calibri" w:cs="Arial"/>
                <w:bCs/>
                <w:color w:val="000000"/>
                <w:sz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(6.054)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(6.054)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color w:val="000000"/>
                <w:sz w:val="22"/>
              </w:rPr>
            </w:pPr>
            <w:r w:rsidRPr="004508B4">
              <w:rPr>
                <w:rFonts w:eastAsia="Calibri" w:cs="Arial"/>
                <w:b/>
                <w:bCs/>
                <w:color w:val="000000"/>
                <w:sz w:val="22"/>
              </w:rPr>
              <w:t>(12.108)</w:t>
            </w:r>
          </w:p>
        </w:tc>
      </w:tr>
      <w:tr w:rsidR="00AA35F3" w:rsidRPr="004508B4" w:rsidTr="007F0882">
        <w:trPr>
          <w:trHeight w:val="709"/>
        </w:trPr>
        <w:tc>
          <w:tcPr>
            <w:tcW w:w="4051" w:type="dxa"/>
            <w:tcBorders>
              <w:top w:val="single" w:sz="4" w:space="0" w:color="auto"/>
            </w:tcBorders>
            <w:shd w:val="clear" w:color="auto" w:fill="auto"/>
            <w:vAlign w:val="center"/>
          </w:tcPr>
          <w:p w:rsidR="00AA35F3" w:rsidRPr="004508B4" w:rsidRDefault="00AA35F3" w:rsidP="001D0484">
            <w:pPr>
              <w:autoSpaceDE w:val="0"/>
              <w:autoSpaceDN w:val="0"/>
              <w:adjustRightInd w:val="0"/>
              <w:spacing w:after="0"/>
              <w:jc w:val="both"/>
              <w:rPr>
                <w:rFonts w:eastAsia="Calibri" w:cs="Arial"/>
                <w:color w:val="000000"/>
                <w:sz w:val="22"/>
              </w:rPr>
            </w:pPr>
            <w:r w:rsidRPr="004508B4">
              <w:rPr>
                <w:rFonts w:eastAsia="Calibri" w:cs="Arial"/>
                <w:b/>
                <w:bCs/>
                <w:color w:val="000000"/>
                <w:sz w:val="22"/>
              </w:rPr>
              <w:t xml:space="preserve">Single Capital Pot Grants indicative: </w:t>
            </w:r>
          </w:p>
        </w:tc>
        <w:tc>
          <w:tcPr>
            <w:tcW w:w="1260" w:type="dxa"/>
            <w:tcBorders>
              <w:top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color w:val="000000"/>
                <w:sz w:val="22"/>
              </w:rPr>
            </w:pPr>
          </w:p>
        </w:tc>
        <w:tc>
          <w:tcPr>
            <w:tcW w:w="1260" w:type="dxa"/>
            <w:tcBorders>
              <w:top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color w:val="000000"/>
                <w:sz w:val="22"/>
              </w:rPr>
            </w:pPr>
          </w:p>
        </w:tc>
        <w:tc>
          <w:tcPr>
            <w:tcW w:w="1259" w:type="dxa"/>
            <w:tcBorders>
              <w:top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color w:val="000000"/>
                <w:sz w:val="22"/>
              </w:rPr>
            </w:pPr>
          </w:p>
        </w:tc>
        <w:tc>
          <w:tcPr>
            <w:tcW w:w="1186" w:type="dxa"/>
            <w:tcBorders>
              <w:top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color w:val="000000"/>
                <w:sz w:val="22"/>
              </w:rPr>
            </w:pPr>
          </w:p>
        </w:tc>
      </w:tr>
      <w:tr w:rsidR="00AA35F3" w:rsidRPr="004508B4" w:rsidTr="007F0882">
        <w:trPr>
          <w:trHeight w:val="691"/>
        </w:trPr>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both"/>
              <w:rPr>
                <w:rFonts w:eastAsia="Calibri" w:cs="Arial"/>
                <w:bCs/>
                <w:color w:val="000000"/>
                <w:sz w:val="22"/>
              </w:rPr>
            </w:pPr>
            <w:r w:rsidRPr="004508B4">
              <w:rPr>
                <w:rFonts w:eastAsia="Calibri" w:cs="Arial"/>
                <w:bCs/>
                <w:color w:val="000000"/>
                <w:sz w:val="22"/>
              </w:rPr>
              <w:t>Schools  Condition</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(11.319)</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(11.319)</w:t>
            </w:r>
          </w:p>
        </w:tc>
        <w:tc>
          <w:tcPr>
            <w:tcW w:w="1259"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color w:val="000000"/>
                <w:sz w:val="22"/>
              </w:rPr>
            </w:pPr>
            <w:r w:rsidRPr="004508B4">
              <w:rPr>
                <w:rFonts w:eastAsia="Calibri" w:cs="Arial"/>
                <w:b/>
                <w:bCs/>
                <w:color w:val="000000"/>
                <w:sz w:val="22"/>
              </w:rPr>
              <w:t>(22.638)</w:t>
            </w:r>
          </w:p>
        </w:tc>
      </w:tr>
      <w:tr w:rsidR="00AA35F3" w:rsidRPr="004508B4" w:rsidTr="007F0882">
        <w:trPr>
          <w:trHeight w:val="842"/>
        </w:trPr>
        <w:tc>
          <w:tcPr>
            <w:tcW w:w="4051" w:type="dxa"/>
            <w:tcBorders>
              <w:top w:val="nil"/>
              <w:left w:val="single" w:sz="4" w:space="0" w:color="auto"/>
              <w:bottom w:val="single" w:sz="4" w:space="0" w:color="auto"/>
              <w:right w:val="single" w:sz="4" w:space="0" w:color="auto"/>
            </w:tcBorders>
            <w:shd w:val="clear" w:color="auto" w:fill="auto"/>
            <w:vAlign w:val="center"/>
          </w:tcPr>
          <w:p w:rsidR="00AA35F3" w:rsidRPr="004508B4" w:rsidRDefault="007F0882" w:rsidP="007F0882">
            <w:pPr>
              <w:autoSpaceDE w:val="0"/>
              <w:autoSpaceDN w:val="0"/>
              <w:adjustRightInd w:val="0"/>
              <w:spacing w:after="0"/>
              <w:jc w:val="both"/>
              <w:rPr>
                <w:rFonts w:eastAsia="Calibri" w:cs="Arial"/>
                <w:bCs/>
                <w:color w:val="000000"/>
                <w:sz w:val="22"/>
              </w:rPr>
            </w:pPr>
            <w:r>
              <w:rPr>
                <w:rFonts w:eastAsia="Calibri" w:cs="Arial"/>
                <w:bCs/>
                <w:color w:val="000000"/>
                <w:sz w:val="22"/>
              </w:rPr>
              <w:t>Highway maintenance</w:t>
            </w:r>
          </w:p>
        </w:tc>
        <w:tc>
          <w:tcPr>
            <w:tcW w:w="1260" w:type="dxa"/>
            <w:tcBorders>
              <w:top w:val="nil"/>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260" w:type="dxa"/>
            <w:tcBorders>
              <w:top w:val="nil"/>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259" w:type="dxa"/>
            <w:tcBorders>
              <w:top w:val="nil"/>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(18.567)</w:t>
            </w:r>
          </w:p>
        </w:tc>
        <w:tc>
          <w:tcPr>
            <w:tcW w:w="1186" w:type="dxa"/>
            <w:tcBorders>
              <w:top w:val="nil"/>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color w:val="000000"/>
                <w:sz w:val="22"/>
              </w:rPr>
            </w:pPr>
            <w:r w:rsidRPr="004508B4">
              <w:rPr>
                <w:rFonts w:eastAsia="Calibri" w:cs="Arial"/>
                <w:b/>
                <w:bCs/>
                <w:color w:val="000000"/>
                <w:sz w:val="22"/>
              </w:rPr>
              <w:t>(18.567)</w:t>
            </w:r>
          </w:p>
        </w:tc>
      </w:tr>
      <w:tr w:rsidR="00AA35F3" w:rsidRPr="004508B4" w:rsidTr="007F0882">
        <w:trPr>
          <w:trHeight w:val="714"/>
        </w:trPr>
        <w:tc>
          <w:tcPr>
            <w:tcW w:w="4051" w:type="dxa"/>
            <w:tcBorders>
              <w:top w:val="nil"/>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both"/>
              <w:rPr>
                <w:rFonts w:eastAsia="Calibri" w:cs="Arial"/>
                <w:bCs/>
                <w:color w:val="000000"/>
                <w:sz w:val="22"/>
              </w:rPr>
            </w:pPr>
            <w:r w:rsidRPr="004508B4">
              <w:rPr>
                <w:rFonts w:eastAsia="Calibri" w:cs="Arial"/>
                <w:bCs/>
                <w:color w:val="000000"/>
                <w:sz w:val="22"/>
              </w:rPr>
              <w:t>Transport (L</w:t>
            </w:r>
            <w:r w:rsidR="007F0882">
              <w:rPr>
                <w:rFonts w:eastAsia="Calibri" w:cs="Arial"/>
                <w:bCs/>
                <w:color w:val="000000"/>
                <w:sz w:val="22"/>
              </w:rPr>
              <w:t xml:space="preserve">ocal </w:t>
            </w:r>
            <w:r w:rsidRPr="004508B4">
              <w:rPr>
                <w:rFonts w:eastAsia="Calibri" w:cs="Arial"/>
                <w:bCs/>
                <w:color w:val="000000"/>
                <w:sz w:val="22"/>
              </w:rPr>
              <w:t>T</w:t>
            </w:r>
            <w:r w:rsidR="007F0882">
              <w:rPr>
                <w:rFonts w:eastAsia="Calibri" w:cs="Arial"/>
                <w:bCs/>
                <w:color w:val="000000"/>
                <w:sz w:val="22"/>
              </w:rPr>
              <w:t xml:space="preserve">ransport </w:t>
            </w:r>
            <w:r w:rsidRPr="004508B4">
              <w:rPr>
                <w:rFonts w:eastAsia="Calibri" w:cs="Arial"/>
                <w:bCs/>
                <w:color w:val="000000"/>
                <w:sz w:val="22"/>
              </w:rPr>
              <w:t>P</w:t>
            </w:r>
            <w:r w:rsidR="007F0882">
              <w:rPr>
                <w:rFonts w:eastAsia="Calibri" w:cs="Arial"/>
                <w:bCs/>
                <w:color w:val="000000"/>
                <w:sz w:val="22"/>
              </w:rPr>
              <w:t>lan</w:t>
            </w:r>
            <w:r w:rsidRPr="004508B4">
              <w:rPr>
                <w:rFonts w:eastAsia="Calibri" w:cs="Arial"/>
                <w:bCs/>
                <w:color w:val="000000"/>
                <w:sz w:val="22"/>
              </w:rPr>
              <w:t xml:space="preserve">) </w:t>
            </w:r>
          </w:p>
        </w:tc>
        <w:tc>
          <w:tcPr>
            <w:tcW w:w="1260" w:type="dxa"/>
            <w:tcBorders>
              <w:top w:val="nil"/>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260" w:type="dxa"/>
            <w:tcBorders>
              <w:top w:val="nil"/>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p>
        </w:tc>
        <w:tc>
          <w:tcPr>
            <w:tcW w:w="1259" w:type="dxa"/>
            <w:tcBorders>
              <w:top w:val="nil"/>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Cs/>
                <w:color w:val="000000"/>
                <w:sz w:val="22"/>
              </w:rPr>
            </w:pPr>
            <w:r w:rsidRPr="004508B4">
              <w:rPr>
                <w:rFonts w:eastAsia="Calibri" w:cs="Arial"/>
                <w:bCs/>
                <w:color w:val="000000"/>
                <w:sz w:val="22"/>
              </w:rPr>
              <w:t>(6.054)</w:t>
            </w:r>
          </w:p>
        </w:tc>
        <w:tc>
          <w:tcPr>
            <w:tcW w:w="1186" w:type="dxa"/>
            <w:tcBorders>
              <w:top w:val="nil"/>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bCs/>
                <w:color w:val="000000"/>
                <w:sz w:val="22"/>
              </w:rPr>
            </w:pPr>
            <w:r w:rsidRPr="004508B4">
              <w:rPr>
                <w:rFonts w:eastAsia="Calibri" w:cs="Arial"/>
                <w:b/>
                <w:bCs/>
                <w:color w:val="000000"/>
                <w:sz w:val="22"/>
              </w:rPr>
              <w:t>(6.054)</w:t>
            </w:r>
          </w:p>
        </w:tc>
      </w:tr>
      <w:tr w:rsidR="00AA35F3" w:rsidRPr="004508B4" w:rsidTr="004508B4">
        <w:trPr>
          <w:trHeight w:val="560"/>
        </w:trPr>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both"/>
              <w:rPr>
                <w:rFonts w:eastAsia="Calibri" w:cs="Arial"/>
                <w:b/>
                <w:bCs/>
                <w:color w:val="000000"/>
                <w:sz w:val="22"/>
              </w:rPr>
            </w:pPr>
            <w:r w:rsidRPr="004508B4">
              <w:rPr>
                <w:rFonts w:eastAsia="Calibri" w:cs="Arial"/>
                <w:b/>
                <w:bCs/>
                <w:color w:val="000000"/>
                <w:sz w:val="22"/>
              </w:rPr>
              <w:t>Other Grants and Contributions:</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color w:val="000000"/>
                <w:sz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color w:val="000000"/>
                <w:sz w:val="22"/>
              </w:rPr>
            </w:pPr>
          </w:p>
        </w:tc>
        <w:tc>
          <w:tcPr>
            <w:tcW w:w="1259"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color w:val="000000"/>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4508B4" w:rsidRDefault="00AA35F3" w:rsidP="001D0484">
            <w:pPr>
              <w:autoSpaceDE w:val="0"/>
              <w:autoSpaceDN w:val="0"/>
              <w:adjustRightInd w:val="0"/>
              <w:spacing w:after="0"/>
              <w:jc w:val="center"/>
              <w:rPr>
                <w:rFonts w:eastAsia="Calibri" w:cs="Arial"/>
                <w:b/>
                <w:color w:val="000000"/>
                <w:sz w:val="22"/>
              </w:rPr>
            </w:pPr>
          </w:p>
        </w:tc>
      </w:tr>
      <w:tr w:rsidR="00AA35F3" w:rsidRPr="00AA35F3" w:rsidTr="007F0882">
        <w:trPr>
          <w:trHeight w:val="675"/>
        </w:trPr>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EE0166" w:rsidP="001D0484">
            <w:pPr>
              <w:autoSpaceDE w:val="0"/>
              <w:autoSpaceDN w:val="0"/>
              <w:adjustRightInd w:val="0"/>
              <w:spacing w:after="0"/>
              <w:jc w:val="both"/>
              <w:rPr>
                <w:rFonts w:eastAsia="Calibri" w:cs="Arial"/>
                <w:color w:val="000000"/>
                <w:sz w:val="22"/>
              </w:rPr>
            </w:pPr>
            <w:r>
              <w:rPr>
                <w:rFonts w:eastAsia="Calibri" w:cs="Arial"/>
                <w:color w:val="000000"/>
                <w:sz w:val="22"/>
              </w:rPr>
              <w:t>A</w:t>
            </w:r>
            <w:r w:rsidR="00AA35F3" w:rsidRPr="00AA35F3">
              <w:rPr>
                <w:rFonts w:eastAsia="Calibri" w:cs="Arial"/>
                <w:color w:val="000000"/>
                <w:sz w:val="22"/>
              </w:rPr>
              <w:t xml:space="preserve">llocated in Feb 15 programme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r w:rsidRPr="00AA35F3">
              <w:rPr>
                <w:rFonts w:eastAsia="Calibri" w:cs="Arial"/>
                <w:color w:val="000000"/>
                <w:sz w:val="22"/>
              </w:rPr>
              <w:t>(0.362)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r w:rsidRPr="00AA35F3">
              <w:rPr>
                <w:rFonts w:eastAsia="Calibri" w:cs="Arial"/>
                <w:color w:val="000000"/>
                <w:sz w:val="22"/>
              </w:rPr>
              <w:t>0.000</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color w:val="000000"/>
                <w:sz w:val="22"/>
              </w:rPr>
            </w:pPr>
            <w:r w:rsidRPr="00AA35F3">
              <w:rPr>
                <w:rFonts w:eastAsia="Calibri" w:cs="Arial"/>
                <w:color w:val="000000"/>
                <w:sz w:val="22"/>
              </w:rPr>
              <w:t>0.000</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color w:val="000000"/>
                <w:sz w:val="22"/>
              </w:rPr>
            </w:pPr>
            <w:r w:rsidRPr="00766F10">
              <w:rPr>
                <w:rFonts w:eastAsia="Calibri" w:cs="Arial"/>
                <w:b/>
                <w:color w:val="000000"/>
                <w:sz w:val="22"/>
              </w:rPr>
              <w:t>(0.362)</w:t>
            </w:r>
          </w:p>
        </w:tc>
      </w:tr>
      <w:tr w:rsidR="00AA35F3" w:rsidRPr="00AA35F3" w:rsidTr="007F0882">
        <w:trPr>
          <w:trHeight w:val="699"/>
        </w:trPr>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proofErr w:type="spellStart"/>
            <w:r w:rsidRPr="00AA35F3">
              <w:rPr>
                <w:rFonts w:eastAsia="Calibri" w:cs="Arial"/>
                <w:bCs/>
                <w:color w:val="000000"/>
                <w:sz w:val="22"/>
              </w:rPr>
              <w:t>DfT</w:t>
            </w:r>
            <w:proofErr w:type="spellEnd"/>
            <w:r w:rsidRPr="00AA35F3">
              <w:rPr>
                <w:rFonts w:eastAsia="Calibri" w:cs="Arial"/>
                <w:bCs/>
                <w:color w:val="000000"/>
                <w:sz w:val="22"/>
              </w:rPr>
              <w:t xml:space="preserve"> challenge fund Street Lighting</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(5.000)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(4.800)</w:t>
            </w:r>
          </w:p>
        </w:tc>
        <w:tc>
          <w:tcPr>
            <w:tcW w:w="1259"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0.000</w:t>
            </w: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bCs/>
                <w:color w:val="000000"/>
                <w:sz w:val="22"/>
              </w:rPr>
            </w:pPr>
            <w:r w:rsidRPr="00766F10">
              <w:rPr>
                <w:rFonts w:eastAsia="Calibri" w:cs="Arial"/>
                <w:b/>
                <w:bCs/>
                <w:color w:val="000000"/>
                <w:sz w:val="22"/>
              </w:rPr>
              <w:t>(9.800)</w:t>
            </w:r>
          </w:p>
        </w:tc>
      </w:tr>
      <w:tr w:rsidR="00AA35F3" w:rsidRPr="00AA35F3" w:rsidTr="007F0882">
        <w:trPr>
          <w:trHeight w:val="836"/>
        </w:trPr>
        <w:tc>
          <w:tcPr>
            <w:tcW w:w="4051"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Burnley BC contribution to Burnley Town Centre</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(0.700)</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(0.550)</w:t>
            </w:r>
          </w:p>
        </w:tc>
        <w:tc>
          <w:tcPr>
            <w:tcW w:w="1259"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bCs/>
                <w:color w:val="000000"/>
                <w:sz w:val="22"/>
              </w:rPr>
            </w:pPr>
            <w:r w:rsidRPr="00766F10">
              <w:rPr>
                <w:rFonts w:eastAsia="Calibri" w:cs="Arial"/>
                <w:b/>
                <w:bCs/>
                <w:color w:val="000000"/>
                <w:sz w:val="22"/>
              </w:rPr>
              <w:t>(1.250)</w:t>
            </w:r>
          </w:p>
        </w:tc>
      </w:tr>
      <w:tr w:rsidR="00AA35F3" w:rsidRPr="00AA35F3" w:rsidTr="007F0882">
        <w:trPr>
          <w:trHeight w:val="706"/>
        </w:trPr>
        <w:tc>
          <w:tcPr>
            <w:tcW w:w="4051"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BDUK match funding re SFBB Phase 2</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r w:rsidRPr="00AA35F3">
              <w:rPr>
                <w:rFonts w:eastAsia="Calibri" w:cs="Arial"/>
                <w:bCs/>
                <w:sz w:val="22"/>
              </w:rPr>
              <w:t>(2.700)</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p>
        </w:tc>
        <w:tc>
          <w:tcPr>
            <w:tcW w:w="1259"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bCs/>
                <w:sz w:val="22"/>
              </w:rPr>
            </w:pPr>
            <w:r w:rsidRPr="00766F10">
              <w:rPr>
                <w:rFonts w:eastAsia="Calibri" w:cs="Arial"/>
                <w:b/>
                <w:bCs/>
                <w:sz w:val="22"/>
              </w:rPr>
              <w:t>(2.700)</w:t>
            </w:r>
          </w:p>
        </w:tc>
      </w:tr>
      <w:tr w:rsidR="00AA35F3" w:rsidRPr="00AA35F3" w:rsidTr="004508B4">
        <w:trPr>
          <w:trHeight w:val="981"/>
        </w:trPr>
        <w:tc>
          <w:tcPr>
            <w:tcW w:w="4051"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 xml:space="preserve">Contribution from existing capital programme  Economic Development block re </w:t>
            </w:r>
            <w:proofErr w:type="spellStart"/>
            <w:r w:rsidRPr="00AA35F3">
              <w:rPr>
                <w:rFonts w:eastAsia="Calibri" w:cs="Arial"/>
                <w:bCs/>
                <w:color w:val="000000"/>
                <w:sz w:val="22"/>
              </w:rPr>
              <w:t>Skelmersdale</w:t>
            </w:r>
            <w:proofErr w:type="spellEnd"/>
            <w:r w:rsidRPr="00AA35F3">
              <w:rPr>
                <w:rFonts w:eastAsia="Calibri" w:cs="Arial"/>
                <w:bCs/>
                <w:color w:val="000000"/>
                <w:sz w:val="22"/>
              </w:rPr>
              <w:t xml:space="preserve"> Rail Link</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(0.500</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(3.200)</w:t>
            </w:r>
          </w:p>
        </w:tc>
        <w:tc>
          <w:tcPr>
            <w:tcW w:w="1259"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bCs/>
                <w:color w:val="000000"/>
                <w:sz w:val="22"/>
              </w:rPr>
            </w:pPr>
            <w:r w:rsidRPr="00766F10">
              <w:rPr>
                <w:rFonts w:eastAsia="Calibri" w:cs="Arial"/>
                <w:b/>
                <w:bCs/>
                <w:color w:val="000000"/>
                <w:sz w:val="22"/>
              </w:rPr>
              <w:t>(3.700)</w:t>
            </w:r>
          </w:p>
        </w:tc>
      </w:tr>
      <w:tr w:rsidR="00AA35F3" w:rsidRPr="00AA35F3" w:rsidTr="004508B4">
        <w:trPr>
          <w:trHeight w:val="996"/>
        </w:trPr>
        <w:tc>
          <w:tcPr>
            <w:tcW w:w="4051"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sz w:val="22"/>
              </w:rPr>
            </w:pPr>
            <w:r w:rsidRPr="00AA35F3">
              <w:rPr>
                <w:rFonts w:eastAsia="Calibri" w:cs="Arial"/>
                <w:bCs/>
                <w:sz w:val="22"/>
              </w:rPr>
              <w:t>Contribution from existing capital programme Highways block re Local Priorities Response Fund</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r w:rsidRPr="00AA35F3">
              <w:rPr>
                <w:rFonts w:eastAsia="Calibri" w:cs="Arial"/>
                <w:bCs/>
                <w:sz w:val="22"/>
              </w:rPr>
              <w:t>(2.500)</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p>
        </w:tc>
        <w:tc>
          <w:tcPr>
            <w:tcW w:w="1259"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bCs/>
                <w:sz w:val="22"/>
              </w:rPr>
            </w:pPr>
            <w:r w:rsidRPr="00766F10">
              <w:rPr>
                <w:rFonts w:eastAsia="Calibri" w:cs="Arial"/>
                <w:b/>
                <w:bCs/>
                <w:sz w:val="22"/>
              </w:rPr>
              <w:t>(2.500)</w:t>
            </w:r>
          </w:p>
        </w:tc>
      </w:tr>
      <w:tr w:rsidR="00AA35F3" w:rsidRPr="00AA35F3" w:rsidTr="007F0882">
        <w:trPr>
          <w:trHeight w:val="688"/>
        </w:trPr>
        <w:tc>
          <w:tcPr>
            <w:tcW w:w="4051"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
                <w:bCs/>
                <w:color w:val="000000"/>
                <w:sz w:val="22"/>
              </w:rPr>
            </w:pPr>
            <w:r w:rsidRPr="00AA35F3">
              <w:rPr>
                <w:rFonts w:eastAsia="Calibri" w:cs="Arial"/>
                <w:b/>
                <w:bCs/>
                <w:color w:val="000000"/>
                <w:sz w:val="22"/>
              </w:rPr>
              <w:t>Set aside from Reserves:</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259"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bCs/>
                <w:color w:val="000000"/>
                <w:sz w:val="22"/>
              </w:rPr>
            </w:pPr>
          </w:p>
        </w:tc>
      </w:tr>
      <w:tr w:rsidR="00AA35F3" w:rsidRPr="00AA35F3" w:rsidTr="004508B4">
        <w:trPr>
          <w:trHeight w:val="1244"/>
        </w:trPr>
        <w:tc>
          <w:tcPr>
            <w:tcW w:w="4051" w:type="dxa"/>
            <w:tcBorders>
              <w:top w:val="nil"/>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both"/>
              <w:rPr>
                <w:rFonts w:eastAsia="Calibri" w:cs="Arial"/>
                <w:bCs/>
                <w:color w:val="000000"/>
                <w:sz w:val="22"/>
              </w:rPr>
            </w:pPr>
            <w:r w:rsidRPr="00AA35F3">
              <w:rPr>
                <w:rFonts w:eastAsia="Calibri" w:cs="Arial"/>
                <w:bCs/>
                <w:color w:val="000000"/>
                <w:sz w:val="22"/>
              </w:rPr>
              <w:t xml:space="preserve">Set aside from Waste PFI Reserve for Fire Suppression Systems at Thornton &amp; </w:t>
            </w:r>
            <w:proofErr w:type="spellStart"/>
            <w:r w:rsidRPr="00AA35F3">
              <w:rPr>
                <w:rFonts w:eastAsia="Calibri" w:cs="Arial"/>
                <w:bCs/>
                <w:color w:val="000000"/>
                <w:sz w:val="22"/>
              </w:rPr>
              <w:t>Farington</w:t>
            </w:r>
            <w:proofErr w:type="spellEnd"/>
            <w:r w:rsidRPr="00AA35F3">
              <w:rPr>
                <w:rFonts w:eastAsia="Calibri" w:cs="Arial"/>
                <w:bCs/>
                <w:color w:val="000000"/>
                <w:sz w:val="22"/>
              </w:rPr>
              <w:t xml:space="preserve"> (total £4m less £0.5m for 15/16)</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(1.500)</w:t>
            </w:r>
          </w:p>
        </w:tc>
        <w:tc>
          <w:tcPr>
            <w:tcW w:w="1260"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(2.000)</w:t>
            </w:r>
          </w:p>
        </w:tc>
        <w:tc>
          <w:tcPr>
            <w:tcW w:w="1259" w:type="dxa"/>
            <w:tcBorders>
              <w:top w:val="nil"/>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nil"/>
              <w:left w:val="nil"/>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bCs/>
                <w:color w:val="000000"/>
                <w:sz w:val="22"/>
              </w:rPr>
            </w:pPr>
            <w:r w:rsidRPr="00766F10">
              <w:rPr>
                <w:rFonts w:eastAsia="Calibri" w:cs="Arial"/>
                <w:b/>
                <w:bCs/>
                <w:color w:val="000000"/>
                <w:sz w:val="22"/>
              </w:rPr>
              <w:t>(3.500)</w:t>
            </w:r>
          </w:p>
        </w:tc>
      </w:tr>
      <w:tr w:rsidR="00AA35F3" w:rsidRPr="00AA35F3" w:rsidTr="004508B4">
        <w:trPr>
          <w:trHeight w:val="567"/>
        </w:trPr>
        <w:tc>
          <w:tcPr>
            <w:tcW w:w="4051" w:type="dxa"/>
            <w:shd w:val="clear" w:color="auto" w:fill="auto"/>
            <w:vAlign w:val="center"/>
          </w:tcPr>
          <w:p w:rsidR="00AA35F3" w:rsidRPr="00AA35F3" w:rsidRDefault="00AA35F3" w:rsidP="001D0484">
            <w:pPr>
              <w:autoSpaceDE w:val="0"/>
              <w:autoSpaceDN w:val="0"/>
              <w:adjustRightInd w:val="0"/>
              <w:spacing w:after="0"/>
              <w:jc w:val="both"/>
              <w:rPr>
                <w:rFonts w:eastAsia="Calibri" w:cs="Arial"/>
                <w:color w:val="000000"/>
                <w:sz w:val="22"/>
              </w:rPr>
            </w:pPr>
            <w:r w:rsidRPr="00AA35F3">
              <w:rPr>
                <w:rFonts w:eastAsia="Calibri" w:cs="Arial"/>
                <w:color w:val="000000"/>
                <w:sz w:val="22"/>
              </w:rPr>
              <w:t>Set aside for Green Energy Fund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(2.500)</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r w:rsidRPr="00AA35F3">
              <w:rPr>
                <w:rFonts w:eastAsia="Calibri" w:cs="Arial"/>
                <w:bCs/>
                <w:color w:val="000000"/>
                <w:sz w:val="22"/>
              </w:rPr>
              <w:t>(2.500)</w:t>
            </w:r>
          </w:p>
        </w:tc>
        <w:tc>
          <w:tcPr>
            <w:tcW w:w="1259"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bCs/>
                <w:color w:val="000000"/>
                <w:sz w:val="22"/>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bCs/>
                <w:color w:val="000000"/>
                <w:sz w:val="22"/>
              </w:rPr>
            </w:pPr>
            <w:r w:rsidRPr="00766F10">
              <w:rPr>
                <w:rFonts w:eastAsia="Calibri" w:cs="Arial"/>
                <w:b/>
                <w:bCs/>
                <w:color w:val="000000"/>
                <w:sz w:val="22"/>
              </w:rPr>
              <w:t>(5.000)</w:t>
            </w:r>
          </w:p>
        </w:tc>
      </w:tr>
      <w:tr w:rsidR="00AA35F3" w:rsidRPr="00AA35F3" w:rsidTr="004508B4">
        <w:trPr>
          <w:trHeight w:val="702"/>
        </w:trPr>
        <w:tc>
          <w:tcPr>
            <w:tcW w:w="4051" w:type="dxa"/>
            <w:shd w:val="clear" w:color="auto" w:fill="BFBFBF" w:themeFill="background1" w:themeFillShade="BF"/>
            <w:vAlign w:val="center"/>
          </w:tcPr>
          <w:p w:rsidR="00AA35F3" w:rsidRPr="00AA35F3" w:rsidRDefault="00AA35F3" w:rsidP="00DA7D82">
            <w:pPr>
              <w:autoSpaceDE w:val="0"/>
              <w:autoSpaceDN w:val="0"/>
              <w:adjustRightInd w:val="0"/>
              <w:spacing w:after="0"/>
              <w:rPr>
                <w:rFonts w:eastAsia="Calibri" w:cs="Arial"/>
                <w:b/>
                <w:color w:val="000000"/>
                <w:sz w:val="22"/>
              </w:rPr>
            </w:pPr>
            <w:r w:rsidRPr="00AA35F3">
              <w:rPr>
                <w:rFonts w:eastAsia="Calibri" w:cs="Arial"/>
                <w:b/>
                <w:color w:val="000000"/>
                <w:sz w:val="22"/>
              </w:rPr>
              <w:t>Net Prudential Borrowing Requirement excluding City Deal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sz w:val="22"/>
              </w:rPr>
            </w:pPr>
            <w:r w:rsidRPr="00AA35F3">
              <w:rPr>
                <w:rFonts w:eastAsia="Calibri" w:cs="Arial"/>
                <w:b/>
                <w:sz w:val="22"/>
              </w:rPr>
              <w:t>36.185</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sz w:val="22"/>
              </w:rPr>
            </w:pPr>
            <w:r w:rsidRPr="00AA35F3">
              <w:rPr>
                <w:rFonts w:eastAsia="Calibri" w:cs="Arial"/>
                <w:b/>
                <w:sz w:val="22"/>
              </w:rPr>
              <w:t>11.216</w:t>
            </w:r>
          </w:p>
        </w:tc>
        <w:tc>
          <w:tcPr>
            <w:tcW w:w="12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sz w:val="22"/>
              </w:rPr>
            </w:pPr>
            <w:r w:rsidRPr="00AA35F3">
              <w:rPr>
                <w:rFonts w:eastAsia="Calibri" w:cs="Arial"/>
                <w:b/>
                <w:sz w:val="22"/>
              </w:rPr>
              <w:t>10.478</w:t>
            </w:r>
          </w:p>
        </w:tc>
        <w:tc>
          <w:tcPr>
            <w:tcW w:w="11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A35F3" w:rsidRPr="00766F10" w:rsidRDefault="00AA35F3" w:rsidP="001D0484">
            <w:pPr>
              <w:autoSpaceDE w:val="0"/>
              <w:autoSpaceDN w:val="0"/>
              <w:adjustRightInd w:val="0"/>
              <w:spacing w:after="0"/>
              <w:jc w:val="center"/>
              <w:rPr>
                <w:rFonts w:eastAsia="Calibri" w:cs="Arial"/>
                <w:b/>
                <w:sz w:val="22"/>
              </w:rPr>
            </w:pPr>
            <w:r w:rsidRPr="00766F10">
              <w:rPr>
                <w:rFonts w:eastAsia="Calibri" w:cs="Arial"/>
                <w:b/>
                <w:sz w:val="22"/>
              </w:rPr>
              <w:t>57.879</w:t>
            </w:r>
          </w:p>
        </w:tc>
      </w:tr>
      <w:tr w:rsidR="00AA35F3" w:rsidRPr="00AA35F3" w:rsidTr="004508B4">
        <w:trPr>
          <w:trHeight w:val="698"/>
        </w:trPr>
        <w:tc>
          <w:tcPr>
            <w:tcW w:w="4051" w:type="dxa"/>
            <w:shd w:val="clear" w:color="auto" w:fill="auto"/>
            <w:vAlign w:val="center"/>
          </w:tcPr>
          <w:p w:rsidR="00AA35F3" w:rsidRPr="00AA35F3" w:rsidRDefault="00AA35F3" w:rsidP="001D0484">
            <w:pPr>
              <w:autoSpaceDE w:val="0"/>
              <w:autoSpaceDN w:val="0"/>
              <w:adjustRightInd w:val="0"/>
              <w:spacing w:after="0"/>
              <w:jc w:val="both"/>
              <w:rPr>
                <w:rFonts w:eastAsia="Calibri" w:cs="Arial"/>
                <w:b/>
                <w:color w:val="000000"/>
                <w:sz w:val="22"/>
              </w:rPr>
            </w:pPr>
            <w:r w:rsidRPr="00AA35F3">
              <w:rPr>
                <w:rFonts w:eastAsia="Calibri" w:cs="Arial"/>
                <w:b/>
                <w:color w:val="000000"/>
                <w:sz w:val="22"/>
              </w:rPr>
              <w:t>City Deal - cash flow support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sz w:val="22"/>
              </w:rPr>
            </w:pPr>
            <w:r w:rsidRPr="00AA35F3">
              <w:rPr>
                <w:rFonts w:eastAsia="Calibri" w:cs="Arial"/>
                <w:sz w:val="22"/>
              </w:rPr>
              <w:t>28.024</w:t>
            </w:r>
          </w:p>
        </w:tc>
        <w:tc>
          <w:tcPr>
            <w:tcW w:w="1260"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sz w:val="22"/>
              </w:rPr>
            </w:pPr>
            <w:r w:rsidRPr="00AA35F3">
              <w:rPr>
                <w:rFonts w:eastAsia="Calibri" w:cs="Arial"/>
                <w:sz w:val="22"/>
              </w:rPr>
              <w:t>18.373</w:t>
            </w:r>
          </w:p>
        </w:tc>
        <w:tc>
          <w:tcPr>
            <w:tcW w:w="1259" w:type="dxa"/>
            <w:tcBorders>
              <w:top w:val="single" w:sz="4" w:space="0" w:color="auto"/>
              <w:left w:val="nil"/>
              <w:bottom w:val="single" w:sz="4" w:space="0" w:color="auto"/>
              <w:right w:val="single" w:sz="4" w:space="0" w:color="auto"/>
            </w:tcBorders>
            <w:shd w:val="clear" w:color="auto" w:fill="auto"/>
            <w:vAlign w:val="center"/>
          </w:tcPr>
          <w:p w:rsidR="00AA35F3" w:rsidRPr="00AA35F3" w:rsidRDefault="00AA35F3" w:rsidP="001D0484">
            <w:pPr>
              <w:autoSpaceDE w:val="0"/>
              <w:autoSpaceDN w:val="0"/>
              <w:adjustRightInd w:val="0"/>
              <w:spacing w:after="0"/>
              <w:jc w:val="center"/>
              <w:rPr>
                <w:rFonts w:eastAsia="Calibri" w:cs="Arial"/>
                <w:sz w:val="22"/>
              </w:rPr>
            </w:pPr>
            <w:r w:rsidRPr="00AA35F3">
              <w:rPr>
                <w:rFonts w:eastAsia="Calibri" w:cs="Arial"/>
                <w:sz w:val="22"/>
              </w:rPr>
              <w:t>7.333</w:t>
            </w:r>
          </w:p>
        </w:tc>
        <w:tc>
          <w:tcPr>
            <w:tcW w:w="1186" w:type="dxa"/>
            <w:tcBorders>
              <w:top w:val="single" w:sz="4" w:space="0" w:color="auto"/>
              <w:left w:val="nil"/>
              <w:bottom w:val="single" w:sz="4" w:space="0" w:color="auto"/>
              <w:right w:val="single" w:sz="4" w:space="0" w:color="auto"/>
            </w:tcBorders>
            <w:shd w:val="clear" w:color="auto" w:fill="auto"/>
            <w:vAlign w:val="center"/>
          </w:tcPr>
          <w:p w:rsidR="00AA35F3" w:rsidRPr="00766F10" w:rsidRDefault="00AA35F3" w:rsidP="001D0484">
            <w:pPr>
              <w:autoSpaceDE w:val="0"/>
              <w:autoSpaceDN w:val="0"/>
              <w:adjustRightInd w:val="0"/>
              <w:spacing w:after="0"/>
              <w:jc w:val="center"/>
              <w:rPr>
                <w:rFonts w:eastAsia="Calibri" w:cs="Arial"/>
                <w:b/>
                <w:sz w:val="22"/>
              </w:rPr>
            </w:pPr>
            <w:r w:rsidRPr="00766F10">
              <w:rPr>
                <w:rFonts w:eastAsia="Calibri" w:cs="Arial"/>
                <w:b/>
                <w:sz w:val="22"/>
              </w:rPr>
              <w:t>53.730</w:t>
            </w:r>
          </w:p>
        </w:tc>
      </w:tr>
      <w:tr w:rsidR="00AA35F3" w:rsidRPr="00AA35F3" w:rsidTr="004508B4">
        <w:trPr>
          <w:trHeight w:val="566"/>
        </w:trPr>
        <w:tc>
          <w:tcPr>
            <w:tcW w:w="4051" w:type="dxa"/>
            <w:shd w:val="clear" w:color="auto" w:fill="BFBFBF" w:themeFill="background1" w:themeFillShade="BF"/>
            <w:vAlign w:val="center"/>
          </w:tcPr>
          <w:p w:rsidR="00AA35F3" w:rsidRPr="00AA35F3" w:rsidRDefault="00AA35F3" w:rsidP="001D0484">
            <w:pPr>
              <w:autoSpaceDE w:val="0"/>
              <w:autoSpaceDN w:val="0"/>
              <w:adjustRightInd w:val="0"/>
              <w:spacing w:after="0"/>
              <w:jc w:val="both"/>
              <w:rPr>
                <w:rFonts w:eastAsia="Calibri" w:cs="Arial"/>
                <w:b/>
                <w:color w:val="000000"/>
                <w:sz w:val="22"/>
              </w:rPr>
            </w:pPr>
            <w:r w:rsidRPr="00AA35F3">
              <w:rPr>
                <w:rFonts w:eastAsia="Calibri" w:cs="Arial"/>
                <w:b/>
                <w:color w:val="000000"/>
                <w:sz w:val="22"/>
              </w:rPr>
              <w:t>Total borrowing requirement</w:t>
            </w:r>
          </w:p>
        </w:tc>
        <w:tc>
          <w:tcPr>
            <w:tcW w:w="12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bCs/>
                <w:sz w:val="22"/>
              </w:rPr>
            </w:pPr>
            <w:r w:rsidRPr="00AA35F3">
              <w:rPr>
                <w:rFonts w:eastAsia="Calibri" w:cs="Arial"/>
                <w:b/>
                <w:bCs/>
                <w:sz w:val="22"/>
              </w:rPr>
              <w:t>64.209</w:t>
            </w:r>
          </w:p>
        </w:tc>
        <w:tc>
          <w:tcPr>
            <w:tcW w:w="1260" w:type="dxa"/>
            <w:tcBorders>
              <w:top w:val="nil"/>
              <w:left w:val="nil"/>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bCs/>
                <w:sz w:val="22"/>
              </w:rPr>
            </w:pPr>
            <w:r w:rsidRPr="00AA35F3">
              <w:rPr>
                <w:rFonts w:eastAsia="Calibri" w:cs="Arial"/>
                <w:b/>
                <w:bCs/>
                <w:sz w:val="22"/>
              </w:rPr>
              <w:t>29.589</w:t>
            </w:r>
          </w:p>
        </w:tc>
        <w:tc>
          <w:tcPr>
            <w:tcW w:w="1259" w:type="dxa"/>
            <w:tcBorders>
              <w:top w:val="nil"/>
              <w:left w:val="nil"/>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bCs/>
                <w:sz w:val="22"/>
              </w:rPr>
            </w:pPr>
            <w:r w:rsidRPr="00AA35F3">
              <w:rPr>
                <w:rFonts w:eastAsia="Calibri" w:cs="Arial"/>
                <w:b/>
                <w:bCs/>
                <w:sz w:val="22"/>
              </w:rPr>
              <w:t>17.811</w:t>
            </w:r>
          </w:p>
        </w:tc>
        <w:tc>
          <w:tcPr>
            <w:tcW w:w="1186" w:type="dxa"/>
            <w:tcBorders>
              <w:top w:val="nil"/>
              <w:left w:val="nil"/>
              <w:bottom w:val="single" w:sz="4" w:space="0" w:color="auto"/>
              <w:right w:val="single" w:sz="4" w:space="0" w:color="auto"/>
            </w:tcBorders>
            <w:shd w:val="clear" w:color="auto" w:fill="BFBFBF" w:themeFill="background1" w:themeFillShade="BF"/>
            <w:vAlign w:val="center"/>
          </w:tcPr>
          <w:p w:rsidR="00AA35F3" w:rsidRPr="00766F10" w:rsidRDefault="00AA35F3" w:rsidP="001D0484">
            <w:pPr>
              <w:autoSpaceDE w:val="0"/>
              <w:autoSpaceDN w:val="0"/>
              <w:adjustRightInd w:val="0"/>
              <w:spacing w:after="0"/>
              <w:jc w:val="center"/>
              <w:rPr>
                <w:rFonts w:eastAsia="Calibri" w:cs="Arial"/>
                <w:b/>
                <w:bCs/>
                <w:sz w:val="22"/>
              </w:rPr>
            </w:pPr>
            <w:r w:rsidRPr="00766F10">
              <w:rPr>
                <w:rFonts w:eastAsia="Calibri" w:cs="Arial"/>
                <w:b/>
                <w:bCs/>
                <w:sz w:val="22"/>
              </w:rPr>
              <w:t>111.609</w:t>
            </w:r>
          </w:p>
        </w:tc>
      </w:tr>
    </w:tbl>
    <w:p w:rsidR="00AA35F3" w:rsidRPr="00AA35F3" w:rsidRDefault="00EE0166" w:rsidP="001D0484">
      <w:pPr>
        <w:autoSpaceDE w:val="0"/>
        <w:autoSpaceDN w:val="0"/>
        <w:adjustRightInd w:val="0"/>
        <w:spacing w:after="0"/>
        <w:jc w:val="both"/>
        <w:rPr>
          <w:rFonts w:eastAsia="Calibri" w:cs="Helvetica-Light"/>
          <w:color w:val="000000"/>
          <w:szCs w:val="24"/>
        </w:rPr>
      </w:pPr>
      <w:r>
        <w:rPr>
          <w:rFonts w:eastAsia="Calibri" w:cs="Helvetica-Light"/>
          <w:color w:val="000000"/>
          <w:szCs w:val="24"/>
        </w:rPr>
        <w:lastRenderedPageBreak/>
        <w:t xml:space="preserve">Table </w:t>
      </w:r>
      <w:r w:rsidR="00A7763F">
        <w:rPr>
          <w:rFonts w:eastAsia="Calibri" w:cs="Helvetica-Light"/>
          <w:color w:val="000000"/>
          <w:szCs w:val="24"/>
        </w:rPr>
        <w:t>13</w:t>
      </w:r>
      <w:r w:rsidR="00AA35F3" w:rsidRPr="00AA35F3">
        <w:rPr>
          <w:rFonts w:eastAsia="Calibri" w:cs="Helvetica-Light"/>
          <w:color w:val="000000"/>
          <w:szCs w:val="24"/>
        </w:rPr>
        <w:t xml:space="preserve"> identifies the revenue implications of the changes in the borrowing requirements (excluding City Deal cash </w:t>
      </w:r>
      <w:r w:rsidR="004508B4">
        <w:rPr>
          <w:rFonts w:eastAsia="Calibri" w:cs="Helvetica-Light"/>
          <w:color w:val="000000"/>
          <w:szCs w:val="24"/>
        </w:rPr>
        <w:t>f</w:t>
      </w:r>
      <w:r>
        <w:rPr>
          <w:rFonts w:eastAsia="Calibri" w:cs="Helvetica-Light"/>
          <w:color w:val="000000"/>
          <w:szCs w:val="24"/>
        </w:rPr>
        <w:t>low support)</w:t>
      </w:r>
      <w:r w:rsidR="00AA35F3" w:rsidRPr="00AA35F3">
        <w:rPr>
          <w:rFonts w:eastAsia="Calibri" w:cs="Helvetica-Light"/>
          <w:color w:val="000000"/>
          <w:szCs w:val="24"/>
        </w:rPr>
        <w:t>:</w:t>
      </w:r>
    </w:p>
    <w:p w:rsidR="00AA35F3" w:rsidRDefault="00AA35F3" w:rsidP="001D0484">
      <w:pPr>
        <w:autoSpaceDE w:val="0"/>
        <w:autoSpaceDN w:val="0"/>
        <w:adjustRightInd w:val="0"/>
        <w:spacing w:after="0"/>
        <w:jc w:val="both"/>
        <w:rPr>
          <w:rFonts w:eastAsia="Calibri" w:cs="Helvetica-Light"/>
          <w:color w:val="000000"/>
          <w:szCs w:val="24"/>
        </w:rPr>
      </w:pPr>
    </w:p>
    <w:p w:rsidR="004508B4" w:rsidRPr="004508B4" w:rsidRDefault="00A7763F" w:rsidP="001D0484">
      <w:pPr>
        <w:autoSpaceDE w:val="0"/>
        <w:autoSpaceDN w:val="0"/>
        <w:adjustRightInd w:val="0"/>
        <w:spacing w:after="0"/>
        <w:jc w:val="both"/>
        <w:rPr>
          <w:rFonts w:eastAsia="Calibri" w:cs="Helvetica-Light"/>
          <w:b/>
          <w:color w:val="000000"/>
          <w:szCs w:val="24"/>
        </w:rPr>
      </w:pPr>
      <w:r>
        <w:rPr>
          <w:rFonts w:eastAsia="Calibri" w:cs="Helvetica-Light"/>
          <w:b/>
          <w:color w:val="000000"/>
          <w:szCs w:val="24"/>
        </w:rP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1241"/>
        <w:gridCol w:w="1118"/>
        <w:gridCol w:w="1118"/>
        <w:gridCol w:w="1062"/>
      </w:tblGrid>
      <w:tr w:rsidR="00AA35F3" w:rsidRPr="00AA35F3" w:rsidTr="004508B4">
        <w:trPr>
          <w:trHeight w:val="704"/>
        </w:trPr>
        <w:tc>
          <w:tcPr>
            <w:tcW w:w="4672" w:type="dxa"/>
            <w:shd w:val="clear" w:color="auto" w:fill="BFBFBF" w:themeFill="background1" w:themeFillShade="BF"/>
            <w:vAlign w:val="center"/>
          </w:tcPr>
          <w:p w:rsidR="00AA35F3" w:rsidRPr="00AA35F3" w:rsidRDefault="00AA35F3" w:rsidP="001D0484">
            <w:pPr>
              <w:autoSpaceDE w:val="0"/>
              <w:autoSpaceDN w:val="0"/>
              <w:adjustRightInd w:val="0"/>
              <w:spacing w:after="0"/>
              <w:jc w:val="both"/>
              <w:rPr>
                <w:rFonts w:eastAsia="Calibri" w:cs="Helvetica-Light"/>
                <w:b/>
                <w:color w:val="000000"/>
                <w:sz w:val="22"/>
              </w:rPr>
            </w:pPr>
          </w:p>
        </w:tc>
        <w:tc>
          <w:tcPr>
            <w:tcW w:w="1256"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Helvetica-Light"/>
                <w:b/>
                <w:color w:val="000000"/>
                <w:sz w:val="22"/>
              </w:rPr>
            </w:pPr>
            <w:r w:rsidRPr="00AA35F3">
              <w:rPr>
                <w:rFonts w:eastAsia="Calibri" w:cs="Helvetica-Light"/>
                <w:b/>
                <w:color w:val="000000"/>
                <w:sz w:val="22"/>
              </w:rPr>
              <w:t>2016/17 £m</w:t>
            </w:r>
          </w:p>
        </w:tc>
        <w:tc>
          <w:tcPr>
            <w:tcW w:w="1125"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Helvetica-Light"/>
                <w:b/>
                <w:color w:val="000000"/>
                <w:sz w:val="22"/>
              </w:rPr>
            </w:pPr>
            <w:r w:rsidRPr="00AA35F3">
              <w:rPr>
                <w:rFonts w:eastAsia="Calibri" w:cs="Helvetica-Light"/>
                <w:b/>
                <w:color w:val="000000"/>
                <w:sz w:val="22"/>
              </w:rPr>
              <w:t>2017/18 £m</w:t>
            </w:r>
          </w:p>
        </w:tc>
        <w:tc>
          <w:tcPr>
            <w:tcW w:w="1125"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Helvetica-Light"/>
                <w:b/>
                <w:color w:val="000000"/>
                <w:sz w:val="22"/>
              </w:rPr>
            </w:pPr>
            <w:r w:rsidRPr="00AA35F3">
              <w:rPr>
                <w:rFonts w:eastAsia="Calibri" w:cs="Helvetica-Light"/>
                <w:b/>
                <w:color w:val="000000"/>
                <w:sz w:val="22"/>
              </w:rPr>
              <w:t>2018/19</w:t>
            </w:r>
          </w:p>
          <w:p w:rsidR="00AA35F3" w:rsidRPr="00AA35F3" w:rsidRDefault="00AA35F3" w:rsidP="001D0484">
            <w:pPr>
              <w:autoSpaceDE w:val="0"/>
              <w:autoSpaceDN w:val="0"/>
              <w:adjustRightInd w:val="0"/>
              <w:spacing w:after="0"/>
              <w:jc w:val="center"/>
              <w:rPr>
                <w:rFonts w:eastAsia="Calibri" w:cs="Helvetica-Light"/>
                <w:b/>
                <w:color w:val="000000"/>
                <w:sz w:val="22"/>
              </w:rPr>
            </w:pPr>
            <w:r w:rsidRPr="00AA35F3">
              <w:rPr>
                <w:rFonts w:eastAsia="Calibri" w:cs="Helvetica-Light"/>
                <w:b/>
                <w:color w:val="000000"/>
                <w:sz w:val="22"/>
              </w:rPr>
              <w:t>£m</w:t>
            </w:r>
          </w:p>
        </w:tc>
        <w:tc>
          <w:tcPr>
            <w:tcW w:w="1065" w:type="dxa"/>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Helvetica-Light"/>
                <w:b/>
                <w:color w:val="000000"/>
                <w:sz w:val="22"/>
              </w:rPr>
            </w:pPr>
            <w:r w:rsidRPr="00AA35F3">
              <w:rPr>
                <w:rFonts w:eastAsia="Calibri" w:cs="Helvetica-Light"/>
                <w:b/>
                <w:color w:val="000000"/>
                <w:sz w:val="22"/>
              </w:rPr>
              <w:t>2019/20</w:t>
            </w:r>
          </w:p>
          <w:p w:rsidR="00AA35F3" w:rsidRPr="00AA35F3" w:rsidRDefault="00AA35F3" w:rsidP="001D0484">
            <w:pPr>
              <w:autoSpaceDE w:val="0"/>
              <w:autoSpaceDN w:val="0"/>
              <w:adjustRightInd w:val="0"/>
              <w:spacing w:after="0"/>
              <w:jc w:val="center"/>
              <w:rPr>
                <w:rFonts w:eastAsia="Calibri" w:cs="Helvetica-Light"/>
                <w:b/>
                <w:color w:val="000000"/>
                <w:sz w:val="22"/>
              </w:rPr>
            </w:pPr>
            <w:r w:rsidRPr="00AA35F3">
              <w:rPr>
                <w:rFonts w:eastAsia="Calibri" w:cs="Helvetica-Light"/>
                <w:b/>
                <w:color w:val="000000"/>
                <w:sz w:val="22"/>
              </w:rPr>
              <w:t>£m</w:t>
            </w:r>
          </w:p>
        </w:tc>
      </w:tr>
      <w:tr w:rsidR="00AA35F3" w:rsidRPr="00AA35F3" w:rsidTr="004508B4">
        <w:trPr>
          <w:trHeight w:val="701"/>
        </w:trPr>
        <w:tc>
          <w:tcPr>
            <w:tcW w:w="4672" w:type="dxa"/>
            <w:shd w:val="clear" w:color="auto" w:fill="auto"/>
            <w:vAlign w:val="center"/>
          </w:tcPr>
          <w:p w:rsidR="00AA35F3" w:rsidRPr="00AA35F3" w:rsidRDefault="00AA35F3" w:rsidP="001D0484">
            <w:pPr>
              <w:autoSpaceDE w:val="0"/>
              <w:autoSpaceDN w:val="0"/>
              <w:adjustRightInd w:val="0"/>
              <w:spacing w:after="0"/>
              <w:jc w:val="both"/>
              <w:rPr>
                <w:rFonts w:eastAsia="Calibri" w:cs="Helvetica-Light"/>
                <w:b/>
                <w:color w:val="000000"/>
                <w:sz w:val="22"/>
              </w:rPr>
            </w:pPr>
            <w:r w:rsidRPr="00AA35F3">
              <w:rPr>
                <w:rFonts w:eastAsia="Calibri" w:cs="Helvetica-Light"/>
                <w:b/>
                <w:color w:val="000000"/>
                <w:sz w:val="22"/>
              </w:rPr>
              <w:t>Net Prudential Borrowing Requirement</w:t>
            </w:r>
            <w:r w:rsidR="004508B4">
              <w:rPr>
                <w:rFonts w:eastAsia="Calibri" w:cs="Helvetica-Light"/>
                <w:b/>
                <w:color w:val="000000"/>
                <w:sz w:val="22"/>
              </w:rPr>
              <w:t xml:space="preserve"> excluding City Deal per Table 13</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Helvetica-Light"/>
                <w:sz w:val="22"/>
              </w:rPr>
            </w:pPr>
            <w:r w:rsidRPr="001536AB">
              <w:rPr>
                <w:rFonts w:eastAsia="Calibri" w:cs="Helvetica-Light"/>
                <w:sz w:val="22"/>
              </w:rPr>
              <w:t>36.185</w:t>
            </w:r>
          </w:p>
        </w:tc>
        <w:tc>
          <w:tcPr>
            <w:tcW w:w="1125" w:type="dxa"/>
            <w:tcBorders>
              <w:top w:val="single" w:sz="4" w:space="0" w:color="auto"/>
              <w:left w:val="nil"/>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Helvetica-Light"/>
                <w:sz w:val="22"/>
              </w:rPr>
            </w:pPr>
            <w:r w:rsidRPr="001536AB">
              <w:rPr>
                <w:rFonts w:eastAsia="Calibri" w:cs="Helvetica-Light"/>
                <w:sz w:val="22"/>
              </w:rPr>
              <w:t>11.216</w:t>
            </w:r>
          </w:p>
        </w:tc>
        <w:tc>
          <w:tcPr>
            <w:tcW w:w="1125" w:type="dxa"/>
            <w:tcBorders>
              <w:top w:val="single" w:sz="4" w:space="0" w:color="auto"/>
              <w:left w:val="nil"/>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Helvetica-Light"/>
                <w:sz w:val="22"/>
              </w:rPr>
            </w:pPr>
            <w:r w:rsidRPr="001536AB">
              <w:rPr>
                <w:rFonts w:eastAsia="Calibri" w:cs="Helvetica-Light"/>
                <w:sz w:val="22"/>
              </w:rPr>
              <w:t>10.478</w:t>
            </w:r>
          </w:p>
        </w:tc>
        <w:tc>
          <w:tcPr>
            <w:tcW w:w="1065" w:type="dxa"/>
            <w:tcBorders>
              <w:top w:val="single" w:sz="4" w:space="0" w:color="auto"/>
              <w:left w:val="nil"/>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Helvetica-Light"/>
                <w:sz w:val="22"/>
              </w:rPr>
            </w:pPr>
            <w:r w:rsidRPr="001536AB">
              <w:rPr>
                <w:rFonts w:eastAsia="Calibri" w:cs="Helvetica-Light"/>
                <w:sz w:val="22"/>
              </w:rPr>
              <w:t>57.879</w:t>
            </w:r>
          </w:p>
        </w:tc>
      </w:tr>
      <w:tr w:rsidR="00AA35F3" w:rsidRPr="00AA35F3" w:rsidTr="004508B4">
        <w:trPr>
          <w:trHeight w:val="558"/>
        </w:trPr>
        <w:tc>
          <w:tcPr>
            <w:tcW w:w="4672" w:type="dxa"/>
            <w:shd w:val="clear" w:color="auto" w:fill="auto"/>
            <w:vAlign w:val="center"/>
          </w:tcPr>
          <w:p w:rsidR="00AA35F3" w:rsidRPr="00AA35F3" w:rsidRDefault="00AA35F3" w:rsidP="001D0484">
            <w:pPr>
              <w:autoSpaceDE w:val="0"/>
              <w:autoSpaceDN w:val="0"/>
              <w:adjustRightInd w:val="0"/>
              <w:spacing w:after="0"/>
              <w:jc w:val="both"/>
              <w:rPr>
                <w:rFonts w:eastAsia="Calibri" w:cs="Helvetica-Light"/>
                <w:color w:val="000000"/>
                <w:sz w:val="22"/>
              </w:rPr>
            </w:pPr>
            <w:r w:rsidRPr="00AA35F3">
              <w:rPr>
                <w:rFonts w:eastAsia="Calibri" w:cs="Helvetica-Light"/>
                <w:color w:val="000000"/>
                <w:sz w:val="22"/>
              </w:rPr>
              <w:t>Interest Cost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Arial"/>
                <w:bCs/>
                <w:color w:val="000000"/>
                <w:sz w:val="22"/>
              </w:rPr>
            </w:pPr>
            <w:r w:rsidRPr="001536AB">
              <w:rPr>
                <w:rFonts w:eastAsia="Calibri" w:cs="Arial"/>
                <w:bCs/>
                <w:color w:val="000000"/>
                <w:sz w:val="22"/>
              </w:rPr>
              <w:t>0.666</w:t>
            </w:r>
          </w:p>
        </w:tc>
        <w:tc>
          <w:tcPr>
            <w:tcW w:w="1125" w:type="dxa"/>
            <w:tcBorders>
              <w:top w:val="single" w:sz="4" w:space="0" w:color="auto"/>
              <w:left w:val="nil"/>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Arial"/>
                <w:bCs/>
                <w:color w:val="000000"/>
                <w:sz w:val="22"/>
              </w:rPr>
            </w:pPr>
            <w:r w:rsidRPr="001536AB">
              <w:rPr>
                <w:rFonts w:eastAsia="Calibri" w:cs="Arial"/>
                <w:bCs/>
                <w:color w:val="000000"/>
                <w:sz w:val="22"/>
              </w:rPr>
              <w:t>1.536</w:t>
            </w:r>
          </w:p>
        </w:tc>
        <w:tc>
          <w:tcPr>
            <w:tcW w:w="1125" w:type="dxa"/>
            <w:tcBorders>
              <w:top w:val="single" w:sz="4" w:space="0" w:color="auto"/>
              <w:left w:val="nil"/>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Arial"/>
                <w:bCs/>
                <w:color w:val="000000"/>
                <w:sz w:val="22"/>
              </w:rPr>
            </w:pPr>
            <w:r w:rsidRPr="001536AB">
              <w:rPr>
                <w:rFonts w:eastAsia="Calibri" w:cs="Arial"/>
                <w:bCs/>
                <w:color w:val="000000"/>
                <w:sz w:val="22"/>
              </w:rPr>
              <w:t>1.897</w:t>
            </w:r>
          </w:p>
        </w:tc>
        <w:tc>
          <w:tcPr>
            <w:tcW w:w="1065" w:type="dxa"/>
            <w:tcBorders>
              <w:top w:val="single" w:sz="4" w:space="0" w:color="auto"/>
              <w:left w:val="nil"/>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Arial"/>
                <w:bCs/>
                <w:color w:val="000000"/>
                <w:sz w:val="22"/>
              </w:rPr>
            </w:pPr>
            <w:r w:rsidRPr="001536AB">
              <w:rPr>
                <w:rFonts w:eastAsia="Calibri" w:cs="Arial"/>
                <w:bCs/>
                <w:color w:val="000000"/>
                <w:sz w:val="22"/>
              </w:rPr>
              <w:t>2.054</w:t>
            </w:r>
          </w:p>
        </w:tc>
      </w:tr>
      <w:tr w:rsidR="00AA35F3" w:rsidRPr="00AA35F3" w:rsidTr="004508B4">
        <w:trPr>
          <w:trHeight w:val="552"/>
        </w:trPr>
        <w:tc>
          <w:tcPr>
            <w:tcW w:w="4672" w:type="dxa"/>
            <w:shd w:val="clear" w:color="auto" w:fill="auto"/>
            <w:vAlign w:val="center"/>
          </w:tcPr>
          <w:p w:rsidR="00AA35F3" w:rsidRPr="00AA35F3" w:rsidRDefault="00AA35F3" w:rsidP="001D0484">
            <w:pPr>
              <w:autoSpaceDE w:val="0"/>
              <w:autoSpaceDN w:val="0"/>
              <w:adjustRightInd w:val="0"/>
              <w:spacing w:after="0"/>
              <w:jc w:val="both"/>
              <w:rPr>
                <w:rFonts w:eastAsia="Calibri" w:cs="Helvetica-Light"/>
                <w:color w:val="000000"/>
                <w:sz w:val="22"/>
              </w:rPr>
            </w:pPr>
            <w:r w:rsidRPr="00AA35F3">
              <w:rPr>
                <w:rFonts w:eastAsia="Calibri" w:cs="Helvetica-Light"/>
                <w:color w:val="000000"/>
                <w:sz w:val="22"/>
              </w:rPr>
              <w:t>Minimum Revenue Provision (Principal)</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Arial"/>
                <w:bCs/>
                <w:color w:val="000000"/>
                <w:sz w:val="22"/>
              </w:rPr>
            </w:pPr>
            <w:r w:rsidRPr="001536AB">
              <w:rPr>
                <w:rFonts w:eastAsia="Calibri" w:cs="Arial"/>
                <w:bCs/>
                <w:color w:val="000000"/>
                <w:sz w:val="22"/>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Arial"/>
                <w:bCs/>
                <w:color w:val="000000"/>
                <w:sz w:val="22"/>
              </w:rPr>
            </w:pPr>
            <w:r w:rsidRPr="001536AB">
              <w:rPr>
                <w:rFonts w:eastAsia="Calibri" w:cs="Arial"/>
                <w:bCs/>
                <w:color w:val="000000"/>
                <w:sz w:val="22"/>
              </w:rPr>
              <w:t>0.559</w:t>
            </w:r>
          </w:p>
        </w:tc>
        <w:tc>
          <w:tcPr>
            <w:tcW w:w="1125" w:type="dxa"/>
            <w:tcBorders>
              <w:top w:val="single" w:sz="4" w:space="0" w:color="auto"/>
              <w:left w:val="nil"/>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Arial"/>
                <w:bCs/>
                <w:color w:val="000000"/>
                <w:sz w:val="22"/>
              </w:rPr>
            </w:pPr>
            <w:r w:rsidRPr="001536AB">
              <w:rPr>
                <w:rFonts w:eastAsia="Calibri" w:cs="Arial"/>
                <w:bCs/>
                <w:color w:val="000000"/>
                <w:sz w:val="22"/>
              </w:rPr>
              <w:t>0.748</w:t>
            </w:r>
          </w:p>
        </w:tc>
        <w:tc>
          <w:tcPr>
            <w:tcW w:w="1065" w:type="dxa"/>
            <w:tcBorders>
              <w:top w:val="single" w:sz="4" w:space="0" w:color="auto"/>
              <w:left w:val="nil"/>
              <w:bottom w:val="single" w:sz="4" w:space="0" w:color="auto"/>
              <w:right w:val="single" w:sz="4" w:space="0" w:color="auto"/>
            </w:tcBorders>
            <w:shd w:val="clear" w:color="auto" w:fill="auto"/>
            <w:vAlign w:val="center"/>
          </w:tcPr>
          <w:p w:rsidR="00AA35F3" w:rsidRPr="001536AB" w:rsidRDefault="00AA35F3" w:rsidP="001D0484">
            <w:pPr>
              <w:autoSpaceDE w:val="0"/>
              <w:autoSpaceDN w:val="0"/>
              <w:adjustRightInd w:val="0"/>
              <w:spacing w:after="0"/>
              <w:jc w:val="center"/>
              <w:rPr>
                <w:rFonts w:eastAsia="Calibri" w:cs="Arial"/>
                <w:bCs/>
                <w:color w:val="000000"/>
                <w:sz w:val="22"/>
              </w:rPr>
            </w:pPr>
            <w:r w:rsidRPr="001536AB">
              <w:rPr>
                <w:rFonts w:eastAsia="Calibri" w:cs="Arial"/>
                <w:bCs/>
                <w:color w:val="000000"/>
                <w:sz w:val="22"/>
              </w:rPr>
              <w:t>0.944</w:t>
            </w:r>
          </w:p>
        </w:tc>
      </w:tr>
      <w:tr w:rsidR="00AA35F3" w:rsidRPr="00AA35F3" w:rsidTr="004508B4">
        <w:trPr>
          <w:trHeight w:val="716"/>
        </w:trPr>
        <w:tc>
          <w:tcPr>
            <w:tcW w:w="4672" w:type="dxa"/>
            <w:shd w:val="clear" w:color="auto" w:fill="BFBFBF" w:themeFill="background1" w:themeFillShade="BF"/>
            <w:vAlign w:val="center"/>
          </w:tcPr>
          <w:p w:rsidR="00AA35F3" w:rsidRPr="00AA35F3" w:rsidRDefault="00AA35F3" w:rsidP="001D0484">
            <w:pPr>
              <w:autoSpaceDE w:val="0"/>
              <w:autoSpaceDN w:val="0"/>
              <w:adjustRightInd w:val="0"/>
              <w:spacing w:after="0"/>
              <w:jc w:val="both"/>
              <w:rPr>
                <w:rFonts w:eastAsia="Calibri" w:cs="Helvetica-Light"/>
                <w:b/>
                <w:color w:val="000000"/>
                <w:sz w:val="22"/>
              </w:rPr>
            </w:pPr>
            <w:r w:rsidRPr="00AA35F3">
              <w:rPr>
                <w:rFonts w:eastAsia="Calibri" w:cs="Helvetica-Light"/>
                <w:b/>
                <w:color w:val="000000"/>
                <w:sz w:val="22"/>
              </w:rPr>
              <w:t>Total cost to revenue (interest and principal)</w:t>
            </w:r>
          </w:p>
        </w:tc>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bCs/>
                <w:color w:val="000000"/>
                <w:sz w:val="22"/>
              </w:rPr>
            </w:pPr>
            <w:r w:rsidRPr="00AA35F3">
              <w:rPr>
                <w:rFonts w:eastAsia="Calibri" w:cs="Arial"/>
                <w:b/>
                <w:bCs/>
                <w:color w:val="000000"/>
                <w:sz w:val="22"/>
              </w:rPr>
              <w:t>0.666</w:t>
            </w:r>
          </w:p>
        </w:tc>
        <w:tc>
          <w:tcPr>
            <w:tcW w:w="112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bCs/>
                <w:color w:val="000000"/>
                <w:sz w:val="22"/>
              </w:rPr>
            </w:pPr>
            <w:r w:rsidRPr="00AA35F3">
              <w:rPr>
                <w:rFonts w:eastAsia="Calibri" w:cs="Arial"/>
                <w:b/>
                <w:bCs/>
                <w:color w:val="000000"/>
                <w:sz w:val="22"/>
              </w:rPr>
              <w:t>2.905</w:t>
            </w:r>
          </w:p>
        </w:tc>
        <w:tc>
          <w:tcPr>
            <w:tcW w:w="112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bCs/>
                <w:color w:val="000000"/>
                <w:sz w:val="22"/>
              </w:rPr>
            </w:pPr>
            <w:r w:rsidRPr="00AA35F3">
              <w:rPr>
                <w:rFonts w:eastAsia="Calibri" w:cs="Arial"/>
                <w:b/>
                <w:bCs/>
                <w:color w:val="000000"/>
                <w:sz w:val="22"/>
              </w:rPr>
              <w:t>2.645</w:t>
            </w:r>
          </w:p>
        </w:tc>
        <w:tc>
          <w:tcPr>
            <w:tcW w:w="106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A35F3" w:rsidRPr="00AA35F3" w:rsidRDefault="00AA35F3" w:rsidP="001D0484">
            <w:pPr>
              <w:autoSpaceDE w:val="0"/>
              <w:autoSpaceDN w:val="0"/>
              <w:adjustRightInd w:val="0"/>
              <w:spacing w:after="0"/>
              <w:jc w:val="center"/>
              <w:rPr>
                <w:rFonts w:eastAsia="Calibri" w:cs="Arial"/>
                <w:b/>
                <w:bCs/>
                <w:color w:val="000000"/>
                <w:sz w:val="22"/>
              </w:rPr>
            </w:pPr>
            <w:r w:rsidRPr="00AA35F3">
              <w:rPr>
                <w:rFonts w:eastAsia="Calibri" w:cs="Arial"/>
                <w:b/>
                <w:bCs/>
                <w:color w:val="000000"/>
                <w:sz w:val="22"/>
              </w:rPr>
              <w:t>2.998</w:t>
            </w:r>
          </w:p>
        </w:tc>
      </w:tr>
    </w:tbl>
    <w:p w:rsidR="00AA35F3" w:rsidRPr="00AA35F3" w:rsidRDefault="00AA35F3" w:rsidP="001D0484">
      <w:pPr>
        <w:autoSpaceDE w:val="0"/>
        <w:autoSpaceDN w:val="0"/>
        <w:adjustRightInd w:val="0"/>
        <w:spacing w:after="120"/>
        <w:jc w:val="both"/>
        <w:rPr>
          <w:rFonts w:eastAsia="Calibri" w:cs="Helvetica-Light"/>
          <w:color w:val="000000"/>
          <w:szCs w:val="24"/>
        </w:rPr>
      </w:pPr>
    </w:p>
    <w:p w:rsidR="00AA35F3" w:rsidRPr="00AA35F3" w:rsidRDefault="00AA35F3" w:rsidP="001D0484">
      <w:pPr>
        <w:autoSpaceDE w:val="0"/>
        <w:autoSpaceDN w:val="0"/>
        <w:adjustRightInd w:val="0"/>
        <w:spacing w:after="0"/>
        <w:jc w:val="both"/>
        <w:rPr>
          <w:rFonts w:eastAsia="Calibri" w:cs="Helvetica-Light"/>
          <w:color w:val="000000"/>
          <w:szCs w:val="24"/>
        </w:rPr>
      </w:pPr>
      <w:r w:rsidRPr="00AA35F3">
        <w:rPr>
          <w:rFonts w:eastAsia="Calibri" w:cs="Helvetica-Light"/>
          <w:color w:val="000000"/>
          <w:szCs w:val="24"/>
        </w:rPr>
        <w:t>The interest calculations are based upon an interest rate of 3%. This is based on the current average rate used by the Public Works Loan Board (PWLB), with 6 months interest being calculated in the first year of borrowing and a full 12 months in the following year.  The minimum revenue provision is one fortieth of the prior year's debt. The revenue implications of this borrowing have been included within the MTFS.</w:t>
      </w:r>
    </w:p>
    <w:p w:rsidR="00AA35F3" w:rsidRPr="005A65D5" w:rsidRDefault="004508B4" w:rsidP="00EE0166">
      <w:pPr>
        <w:autoSpaceDE w:val="0"/>
        <w:autoSpaceDN w:val="0"/>
        <w:adjustRightInd w:val="0"/>
        <w:spacing w:after="0"/>
        <w:jc w:val="both"/>
        <w:rPr>
          <w:rFonts w:cs="Arial"/>
          <w:szCs w:val="24"/>
          <w:highlight w:val="yellow"/>
        </w:rPr>
      </w:pPr>
      <w:r>
        <w:rPr>
          <w:rFonts w:eastAsia="Calibri" w:cs="Helvetica-Light"/>
          <w:color w:val="000000"/>
          <w:szCs w:val="24"/>
        </w:rPr>
        <w:t xml:space="preserve"> </w:t>
      </w:r>
    </w:p>
    <w:p w:rsidR="00CC70E0" w:rsidRPr="0002062B" w:rsidRDefault="0002062B" w:rsidP="001D0484">
      <w:pPr>
        <w:spacing w:after="0"/>
        <w:jc w:val="both"/>
        <w:rPr>
          <w:rFonts w:cs="Arial"/>
          <w:b/>
          <w:szCs w:val="24"/>
        </w:rPr>
      </w:pPr>
      <w:r>
        <w:rPr>
          <w:rFonts w:cs="Arial"/>
          <w:b/>
          <w:bCs/>
          <w:szCs w:val="24"/>
        </w:rPr>
        <w:t xml:space="preserve">8. </w:t>
      </w:r>
      <w:r w:rsidR="00CC70E0" w:rsidRPr="0002062B">
        <w:rPr>
          <w:rFonts w:cs="Arial"/>
          <w:b/>
          <w:bCs/>
          <w:szCs w:val="24"/>
        </w:rPr>
        <w:t>Council Tax for 201</w:t>
      </w:r>
      <w:r w:rsidR="00FA0012">
        <w:rPr>
          <w:rFonts w:cs="Arial"/>
          <w:b/>
          <w:bCs/>
          <w:szCs w:val="24"/>
        </w:rPr>
        <w:t>6</w:t>
      </w:r>
      <w:r w:rsidR="00CC70E0" w:rsidRPr="0002062B">
        <w:rPr>
          <w:rFonts w:cs="Arial"/>
          <w:b/>
          <w:bCs/>
          <w:szCs w:val="24"/>
        </w:rPr>
        <w:t>/1</w:t>
      </w:r>
      <w:r w:rsidR="00FA0012">
        <w:rPr>
          <w:rFonts w:cs="Arial"/>
          <w:b/>
          <w:bCs/>
          <w:szCs w:val="24"/>
        </w:rPr>
        <w:t>7</w:t>
      </w:r>
    </w:p>
    <w:p w:rsidR="00CC70E0" w:rsidRPr="00CB36F8" w:rsidRDefault="00CC70E0" w:rsidP="001D0484">
      <w:pPr>
        <w:spacing w:after="0"/>
        <w:jc w:val="both"/>
        <w:rPr>
          <w:rFonts w:cs="Arial"/>
          <w:b/>
          <w:bCs/>
          <w:szCs w:val="24"/>
        </w:rPr>
      </w:pPr>
    </w:p>
    <w:p w:rsidR="0036718B" w:rsidRDefault="0022038B" w:rsidP="001D0484">
      <w:pPr>
        <w:spacing w:after="0"/>
        <w:jc w:val="both"/>
        <w:rPr>
          <w:rFonts w:cs="Arial"/>
          <w:szCs w:val="24"/>
        </w:rPr>
      </w:pPr>
      <w:r w:rsidRPr="005A65D5">
        <w:rPr>
          <w:rFonts w:cs="Arial"/>
          <w:szCs w:val="24"/>
        </w:rPr>
        <w:t xml:space="preserve">The recommendation of the Cabinet to Full Council on the council tax requirement is </w:t>
      </w:r>
      <w:r w:rsidR="0036718B">
        <w:rPr>
          <w:rFonts w:cs="Arial"/>
          <w:szCs w:val="24"/>
        </w:rPr>
        <w:t xml:space="preserve">that </w:t>
      </w:r>
      <w:r w:rsidR="0036718B" w:rsidRPr="0036718B">
        <w:rPr>
          <w:rFonts w:cs="Arial"/>
          <w:szCs w:val="24"/>
        </w:rPr>
        <w:t xml:space="preserve">the Band D Council Tax for 2016/17 </w:t>
      </w:r>
      <w:r w:rsidR="00697455">
        <w:rPr>
          <w:rFonts w:cs="Arial"/>
          <w:szCs w:val="24"/>
        </w:rPr>
        <w:t>be increased</w:t>
      </w:r>
      <w:r w:rsidR="0036718B" w:rsidRPr="0036718B">
        <w:rPr>
          <w:rFonts w:cs="Arial"/>
          <w:szCs w:val="24"/>
        </w:rPr>
        <w:t xml:space="preserve"> 3.99% increase </w:t>
      </w:r>
      <w:r w:rsidR="00697455">
        <w:rPr>
          <w:rFonts w:cs="Arial"/>
          <w:szCs w:val="24"/>
        </w:rPr>
        <w:t>which includes the</w:t>
      </w:r>
      <w:r w:rsidR="0036718B" w:rsidRPr="0036718B">
        <w:rPr>
          <w:rFonts w:cs="Arial"/>
          <w:szCs w:val="24"/>
        </w:rPr>
        <w:t xml:space="preserve"> 2% social care </w:t>
      </w:r>
      <w:r w:rsidR="005107A8">
        <w:rPr>
          <w:rFonts w:cs="Arial"/>
          <w:szCs w:val="24"/>
        </w:rPr>
        <w:t xml:space="preserve">precept. </w:t>
      </w:r>
      <w:r w:rsidR="00697455">
        <w:rPr>
          <w:rFonts w:cs="Arial"/>
          <w:szCs w:val="24"/>
        </w:rPr>
        <w:t xml:space="preserve">The impact of these increases are: </w:t>
      </w:r>
    </w:p>
    <w:p w:rsidR="00503CD6" w:rsidRDefault="00503CD6" w:rsidP="004321DB">
      <w:pPr>
        <w:spacing w:after="0"/>
        <w:jc w:val="both"/>
        <w:rPr>
          <w:rFonts w:cs="Arial"/>
          <w:szCs w:val="24"/>
        </w:rPr>
      </w:pPr>
    </w:p>
    <w:p w:rsidR="005107A8" w:rsidRPr="005107A8" w:rsidRDefault="005107A8" w:rsidP="004321DB">
      <w:pPr>
        <w:spacing w:after="0"/>
        <w:jc w:val="both"/>
        <w:rPr>
          <w:rFonts w:cs="Arial"/>
          <w:b/>
          <w:szCs w:val="24"/>
        </w:rPr>
      </w:pPr>
      <w:r w:rsidRPr="005107A8">
        <w:rPr>
          <w:rFonts w:cs="Arial"/>
          <w:b/>
          <w:szCs w:val="24"/>
        </w:rPr>
        <w:t>Table 14</w:t>
      </w:r>
    </w:p>
    <w:tbl>
      <w:tblPr>
        <w:tblStyle w:val="TableGrid"/>
        <w:tblW w:w="0" w:type="auto"/>
        <w:tblLook w:val="04A0" w:firstRow="1" w:lastRow="0" w:firstColumn="1" w:lastColumn="0" w:noHBand="0" w:noVBand="1"/>
      </w:tblPr>
      <w:tblGrid>
        <w:gridCol w:w="3681"/>
        <w:gridCol w:w="2329"/>
        <w:gridCol w:w="3006"/>
      </w:tblGrid>
      <w:tr w:rsidR="00697455" w:rsidRPr="00CB36F8" w:rsidTr="00E22728">
        <w:trPr>
          <w:trHeight w:val="606"/>
        </w:trPr>
        <w:tc>
          <w:tcPr>
            <w:tcW w:w="3681" w:type="dxa"/>
            <w:shd w:val="clear" w:color="auto" w:fill="BFBFBF" w:themeFill="background1" w:themeFillShade="BF"/>
          </w:tcPr>
          <w:p w:rsidR="00697455" w:rsidRPr="00CB36F8" w:rsidRDefault="00697455" w:rsidP="004321DB">
            <w:pPr>
              <w:jc w:val="both"/>
              <w:rPr>
                <w:rFonts w:cs="Arial"/>
                <w:b/>
                <w:szCs w:val="24"/>
              </w:rPr>
            </w:pPr>
          </w:p>
        </w:tc>
        <w:tc>
          <w:tcPr>
            <w:tcW w:w="2329" w:type="dxa"/>
            <w:shd w:val="clear" w:color="auto" w:fill="BFBFBF" w:themeFill="background1" w:themeFillShade="BF"/>
            <w:vAlign w:val="center"/>
          </w:tcPr>
          <w:p w:rsidR="00697455" w:rsidRPr="00CB36F8" w:rsidRDefault="00697455" w:rsidP="00E22728">
            <w:pPr>
              <w:jc w:val="center"/>
              <w:rPr>
                <w:rFonts w:cs="Arial"/>
                <w:b/>
                <w:szCs w:val="24"/>
              </w:rPr>
            </w:pPr>
            <w:r w:rsidRPr="00CB36F8">
              <w:rPr>
                <w:rFonts w:cs="Arial"/>
                <w:b/>
                <w:szCs w:val="24"/>
              </w:rPr>
              <w:t xml:space="preserve">Band D </w:t>
            </w:r>
            <w:r w:rsidR="00E22728">
              <w:rPr>
                <w:rFonts w:cs="Arial"/>
                <w:b/>
                <w:szCs w:val="24"/>
              </w:rPr>
              <w:t>C</w:t>
            </w:r>
            <w:r w:rsidRPr="00CB36F8">
              <w:rPr>
                <w:rFonts w:cs="Arial"/>
                <w:b/>
                <w:szCs w:val="24"/>
              </w:rPr>
              <w:t>ouncil Tax</w:t>
            </w:r>
          </w:p>
        </w:tc>
        <w:tc>
          <w:tcPr>
            <w:tcW w:w="3006" w:type="dxa"/>
            <w:shd w:val="clear" w:color="auto" w:fill="BFBFBF" w:themeFill="background1" w:themeFillShade="BF"/>
            <w:vAlign w:val="center"/>
          </w:tcPr>
          <w:p w:rsidR="00697455" w:rsidRPr="00CB36F8" w:rsidRDefault="00697455" w:rsidP="00503CD6">
            <w:pPr>
              <w:jc w:val="center"/>
              <w:rPr>
                <w:rFonts w:cs="Arial"/>
                <w:b/>
                <w:szCs w:val="24"/>
              </w:rPr>
            </w:pPr>
            <w:r w:rsidRPr="00CB36F8">
              <w:rPr>
                <w:rFonts w:cs="Arial"/>
                <w:b/>
                <w:szCs w:val="24"/>
              </w:rPr>
              <w:t>C</w:t>
            </w:r>
            <w:r w:rsidR="00E22728">
              <w:rPr>
                <w:rFonts w:cs="Arial"/>
                <w:b/>
                <w:szCs w:val="24"/>
              </w:rPr>
              <w:t>ouncil T</w:t>
            </w:r>
            <w:r w:rsidRPr="00CB36F8">
              <w:rPr>
                <w:rFonts w:cs="Arial"/>
                <w:b/>
                <w:szCs w:val="24"/>
              </w:rPr>
              <w:t>ax income</w:t>
            </w:r>
          </w:p>
        </w:tc>
      </w:tr>
      <w:tr w:rsidR="00697455" w:rsidTr="00E22728">
        <w:trPr>
          <w:trHeight w:val="732"/>
        </w:trPr>
        <w:tc>
          <w:tcPr>
            <w:tcW w:w="3681" w:type="dxa"/>
            <w:vAlign w:val="center"/>
          </w:tcPr>
          <w:p w:rsidR="00697455" w:rsidRDefault="00697455" w:rsidP="004321DB">
            <w:pPr>
              <w:jc w:val="both"/>
              <w:rPr>
                <w:rFonts w:cs="Arial"/>
                <w:szCs w:val="24"/>
              </w:rPr>
            </w:pPr>
            <w:r>
              <w:rPr>
                <w:rFonts w:cs="Arial"/>
                <w:szCs w:val="24"/>
              </w:rPr>
              <w:t>Adult Social Care Precept at 2%</w:t>
            </w:r>
          </w:p>
        </w:tc>
        <w:tc>
          <w:tcPr>
            <w:tcW w:w="2329" w:type="dxa"/>
            <w:vAlign w:val="center"/>
          </w:tcPr>
          <w:p w:rsidR="00697455" w:rsidRDefault="00503CD6" w:rsidP="00503CD6">
            <w:pPr>
              <w:jc w:val="center"/>
              <w:rPr>
                <w:rFonts w:cs="Arial"/>
                <w:szCs w:val="24"/>
              </w:rPr>
            </w:pPr>
            <w:r>
              <w:rPr>
                <w:rFonts w:cs="Arial"/>
                <w:szCs w:val="24"/>
              </w:rPr>
              <w:t>£22.60</w:t>
            </w:r>
          </w:p>
        </w:tc>
        <w:tc>
          <w:tcPr>
            <w:tcW w:w="3006" w:type="dxa"/>
            <w:vAlign w:val="center"/>
          </w:tcPr>
          <w:p w:rsidR="00697455" w:rsidRDefault="00503CD6" w:rsidP="00503CD6">
            <w:pPr>
              <w:jc w:val="center"/>
              <w:rPr>
                <w:rFonts w:cs="Arial"/>
                <w:szCs w:val="24"/>
              </w:rPr>
            </w:pPr>
            <w:r>
              <w:rPr>
                <w:rFonts w:cs="Arial"/>
                <w:szCs w:val="24"/>
              </w:rPr>
              <w:t>£7.887m</w:t>
            </w:r>
          </w:p>
        </w:tc>
      </w:tr>
      <w:tr w:rsidR="00697455" w:rsidTr="00E22728">
        <w:trPr>
          <w:trHeight w:val="686"/>
        </w:trPr>
        <w:tc>
          <w:tcPr>
            <w:tcW w:w="3681" w:type="dxa"/>
            <w:vAlign w:val="center"/>
          </w:tcPr>
          <w:p w:rsidR="00697455" w:rsidRDefault="00697455" w:rsidP="004321DB">
            <w:pPr>
              <w:jc w:val="both"/>
              <w:rPr>
                <w:rFonts w:cs="Arial"/>
                <w:szCs w:val="24"/>
              </w:rPr>
            </w:pPr>
            <w:r>
              <w:rPr>
                <w:rFonts w:cs="Arial"/>
                <w:szCs w:val="24"/>
              </w:rPr>
              <w:t>General Council Tax increase at 1.99%</w:t>
            </w:r>
          </w:p>
        </w:tc>
        <w:tc>
          <w:tcPr>
            <w:tcW w:w="2329" w:type="dxa"/>
            <w:vAlign w:val="center"/>
          </w:tcPr>
          <w:p w:rsidR="00697455" w:rsidRDefault="00503CD6" w:rsidP="00503CD6">
            <w:pPr>
              <w:jc w:val="center"/>
              <w:rPr>
                <w:rFonts w:cs="Arial"/>
                <w:szCs w:val="24"/>
              </w:rPr>
            </w:pPr>
            <w:r>
              <w:rPr>
                <w:rFonts w:cs="Arial"/>
                <w:szCs w:val="24"/>
              </w:rPr>
              <w:t>£22.48</w:t>
            </w:r>
          </w:p>
        </w:tc>
        <w:tc>
          <w:tcPr>
            <w:tcW w:w="3006" w:type="dxa"/>
            <w:vAlign w:val="center"/>
          </w:tcPr>
          <w:p w:rsidR="00697455" w:rsidRDefault="00503CD6" w:rsidP="00503CD6">
            <w:pPr>
              <w:jc w:val="center"/>
              <w:rPr>
                <w:rFonts w:cs="Arial"/>
                <w:szCs w:val="24"/>
              </w:rPr>
            </w:pPr>
            <w:r>
              <w:rPr>
                <w:rFonts w:cs="Arial"/>
                <w:szCs w:val="24"/>
              </w:rPr>
              <w:t>£7.845m</w:t>
            </w:r>
          </w:p>
        </w:tc>
      </w:tr>
    </w:tbl>
    <w:p w:rsidR="00E22728" w:rsidRDefault="00E22728" w:rsidP="004321DB">
      <w:pPr>
        <w:spacing w:after="0"/>
        <w:jc w:val="both"/>
        <w:rPr>
          <w:rFonts w:cs="Arial"/>
          <w:szCs w:val="24"/>
        </w:rPr>
      </w:pPr>
    </w:p>
    <w:p w:rsidR="005107A8" w:rsidRDefault="005107A8" w:rsidP="004321DB">
      <w:pPr>
        <w:spacing w:after="0"/>
        <w:jc w:val="both"/>
        <w:rPr>
          <w:rFonts w:cs="Arial"/>
          <w:szCs w:val="24"/>
        </w:rPr>
      </w:pPr>
      <w:r>
        <w:rPr>
          <w:rFonts w:cs="Arial"/>
          <w:szCs w:val="24"/>
        </w:rPr>
        <w:t>The overall position is summarized as follows:</w:t>
      </w:r>
    </w:p>
    <w:p w:rsidR="005107A8" w:rsidRDefault="005107A8">
      <w:pPr>
        <w:rPr>
          <w:rFonts w:cs="Arial"/>
          <w:b/>
          <w:szCs w:val="24"/>
        </w:rPr>
      </w:pPr>
      <w:r>
        <w:rPr>
          <w:rFonts w:cs="Arial"/>
          <w:b/>
          <w:szCs w:val="24"/>
        </w:rPr>
        <w:br w:type="page"/>
      </w:r>
    </w:p>
    <w:p w:rsidR="0022038B" w:rsidRPr="00545F55" w:rsidRDefault="00545F55" w:rsidP="004321DB">
      <w:pPr>
        <w:spacing w:after="0"/>
        <w:jc w:val="both"/>
        <w:rPr>
          <w:rFonts w:cs="Arial"/>
          <w:b/>
          <w:szCs w:val="24"/>
        </w:rPr>
      </w:pPr>
      <w:r w:rsidRPr="00545F55">
        <w:rPr>
          <w:rFonts w:cs="Arial"/>
          <w:b/>
          <w:szCs w:val="24"/>
        </w:rPr>
        <w:lastRenderedPageBreak/>
        <w:t xml:space="preserve">Table </w:t>
      </w:r>
      <w:r w:rsidR="005107A8">
        <w:rPr>
          <w:rFonts w:cs="Arial"/>
          <w:b/>
          <w:szCs w:val="24"/>
        </w:rPr>
        <w:t>15</w:t>
      </w:r>
    </w:p>
    <w:tbl>
      <w:tblPr>
        <w:tblStyle w:val="TableGrid5"/>
        <w:tblW w:w="0" w:type="auto"/>
        <w:tblInd w:w="-5" w:type="dxa"/>
        <w:tblLook w:val="04A0" w:firstRow="1" w:lastRow="0" w:firstColumn="1" w:lastColumn="0" w:noHBand="0" w:noVBand="1"/>
      </w:tblPr>
      <w:tblGrid>
        <w:gridCol w:w="4953"/>
        <w:gridCol w:w="2184"/>
      </w:tblGrid>
      <w:tr w:rsidR="0022038B" w:rsidRPr="004321DB" w:rsidTr="00624D24">
        <w:trPr>
          <w:trHeight w:val="381"/>
        </w:trPr>
        <w:tc>
          <w:tcPr>
            <w:tcW w:w="4953" w:type="dxa"/>
            <w:shd w:val="clear" w:color="auto" w:fill="BFBFBF" w:themeFill="background1" w:themeFillShade="BF"/>
            <w:vAlign w:val="center"/>
          </w:tcPr>
          <w:p w:rsidR="0022038B" w:rsidRPr="004321DB" w:rsidRDefault="0022038B" w:rsidP="005347EA">
            <w:pPr>
              <w:autoSpaceDE w:val="0"/>
              <w:autoSpaceDN w:val="0"/>
              <w:adjustRightInd w:val="0"/>
              <w:spacing w:line="276" w:lineRule="auto"/>
              <w:jc w:val="both"/>
              <w:rPr>
                <w:rFonts w:cs="Arial"/>
                <w:b/>
                <w:sz w:val="22"/>
              </w:rPr>
            </w:pPr>
          </w:p>
        </w:tc>
        <w:tc>
          <w:tcPr>
            <w:tcW w:w="2184" w:type="dxa"/>
            <w:shd w:val="clear" w:color="auto" w:fill="BFBFBF" w:themeFill="background1" w:themeFillShade="BF"/>
            <w:vAlign w:val="center"/>
          </w:tcPr>
          <w:p w:rsidR="0022038B" w:rsidRPr="004321DB" w:rsidRDefault="00624D24" w:rsidP="005347EA">
            <w:pPr>
              <w:autoSpaceDE w:val="0"/>
              <w:autoSpaceDN w:val="0"/>
              <w:adjustRightInd w:val="0"/>
              <w:spacing w:line="276" w:lineRule="auto"/>
              <w:jc w:val="center"/>
              <w:rPr>
                <w:rFonts w:cs="Arial"/>
                <w:b/>
                <w:sz w:val="22"/>
              </w:rPr>
            </w:pPr>
            <w:r>
              <w:rPr>
                <w:rFonts w:cs="Arial"/>
                <w:b/>
                <w:sz w:val="22"/>
              </w:rPr>
              <w:t>£m</w:t>
            </w:r>
          </w:p>
        </w:tc>
      </w:tr>
      <w:tr w:rsidR="00624D24" w:rsidRPr="004321DB" w:rsidTr="00624D24">
        <w:trPr>
          <w:trHeight w:val="381"/>
        </w:trPr>
        <w:tc>
          <w:tcPr>
            <w:tcW w:w="4953" w:type="dxa"/>
            <w:shd w:val="clear" w:color="auto" w:fill="BFBFBF" w:themeFill="background1" w:themeFillShade="BF"/>
            <w:vAlign w:val="center"/>
          </w:tcPr>
          <w:p w:rsidR="00624D24" w:rsidRPr="004321DB" w:rsidRDefault="00624D24" w:rsidP="005347EA">
            <w:pPr>
              <w:autoSpaceDE w:val="0"/>
              <w:autoSpaceDN w:val="0"/>
              <w:adjustRightInd w:val="0"/>
              <w:spacing w:line="276" w:lineRule="auto"/>
              <w:jc w:val="both"/>
              <w:rPr>
                <w:rFonts w:cs="Arial"/>
                <w:b/>
                <w:sz w:val="22"/>
              </w:rPr>
            </w:pPr>
            <w:r>
              <w:rPr>
                <w:rFonts w:cs="Arial"/>
                <w:b/>
                <w:sz w:val="22"/>
              </w:rPr>
              <w:t>Budget Requirement</w:t>
            </w:r>
          </w:p>
        </w:tc>
        <w:tc>
          <w:tcPr>
            <w:tcW w:w="2184" w:type="dxa"/>
            <w:shd w:val="clear" w:color="auto" w:fill="BFBFBF" w:themeFill="background1" w:themeFillShade="BF"/>
            <w:vAlign w:val="center"/>
          </w:tcPr>
          <w:p w:rsidR="00624D24" w:rsidRDefault="00624D24" w:rsidP="006050DB">
            <w:pPr>
              <w:autoSpaceDE w:val="0"/>
              <w:autoSpaceDN w:val="0"/>
              <w:adjustRightInd w:val="0"/>
              <w:spacing w:line="276" w:lineRule="auto"/>
              <w:jc w:val="center"/>
              <w:rPr>
                <w:rFonts w:cs="Arial"/>
                <w:b/>
                <w:sz w:val="22"/>
              </w:rPr>
            </w:pPr>
            <w:r>
              <w:rPr>
                <w:rFonts w:cs="Arial"/>
                <w:b/>
                <w:sz w:val="22"/>
              </w:rPr>
              <w:t>71</w:t>
            </w:r>
            <w:r w:rsidR="006050DB">
              <w:rPr>
                <w:rFonts w:cs="Arial"/>
                <w:b/>
                <w:sz w:val="22"/>
              </w:rPr>
              <w:t>1</w:t>
            </w:r>
            <w:r>
              <w:rPr>
                <w:rFonts w:cs="Arial"/>
                <w:b/>
                <w:sz w:val="22"/>
              </w:rPr>
              <w:t>.</w:t>
            </w:r>
            <w:r w:rsidR="006050DB">
              <w:rPr>
                <w:rFonts w:cs="Arial"/>
                <w:b/>
                <w:sz w:val="22"/>
              </w:rPr>
              <w:t>912</w:t>
            </w:r>
          </w:p>
        </w:tc>
      </w:tr>
      <w:tr w:rsidR="0022038B" w:rsidRPr="004321DB" w:rsidTr="00624D24">
        <w:trPr>
          <w:trHeight w:val="405"/>
        </w:trPr>
        <w:tc>
          <w:tcPr>
            <w:tcW w:w="4953" w:type="dxa"/>
            <w:vAlign w:val="center"/>
          </w:tcPr>
          <w:p w:rsidR="0022038B" w:rsidRPr="004321DB" w:rsidRDefault="001656A0" w:rsidP="005347EA">
            <w:pPr>
              <w:autoSpaceDE w:val="0"/>
              <w:autoSpaceDN w:val="0"/>
              <w:adjustRightInd w:val="0"/>
              <w:spacing w:line="276" w:lineRule="auto"/>
              <w:jc w:val="both"/>
              <w:rPr>
                <w:rFonts w:cs="Arial"/>
                <w:sz w:val="22"/>
              </w:rPr>
            </w:pPr>
            <w:r>
              <w:rPr>
                <w:rFonts w:cs="Arial"/>
                <w:sz w:val="22"/>
              </w:rPr>
              <w:t>Less Revenue Support Grant</w:t>
            </w:r>
          </w:p>
        </w:tc>
        <w:tc>
          <w:tcPr>
            <w:tcW w:w="2184" w:type="dxa"/>
            <w:vAlign w:val="center"/>
          </w:tcPr>
          <w:p w:rsidR="00624D24" w:rsidRPr="004321DB" w:rsidRDefault="00624D24" w:rsidP="005347EA">
            <w:pPr>
              <w:autoSpaceDE w:val="0"/>
              <w:autoSpaceDN w:val="0"/>
              <w:adjustRightInd w:val="0"/>
              <w:spacing w:line="276" w:lineRule="auto"/>
              <w:jc w:val="center"/>
              <w:rPr>
                <w:rFonts w:cs="Arial"/>
                <w:sz w:val="22"/>
              </w:rPr>
            </w:pPr>
            <w:r>
              <w:rPr>
                <w:rFonts w:cs="Arial"/>
                <w:sz w:val="22"/>
              </w:rPr>
              <w:t>118.841</w:t>
            </w:r>
          </w:p>
        </w:tc>
      </w:tr>
      <w:tr w:rsidR="0022038B" w:rsidRPr="004321DB" w:rsidTr="00624D24">
        <w:trPr>
          <w:trHeight w:val="405"/>
        </w:trPr>
        <w:tc>
          <w:tcPr>
            <w:tcW w:w="4953" w:type="dxa"/>
            <w:vAlign w:val="center"/>
          </w:tcPr>
          <w:p w:rsidR="0022038B" w:rsidRPr="004321DB" w:rsidRDefault="0022038B" w:rsidP="005347EA">
            <w:pPr>
              <w:autoSpaceDE w:val="0"/>
              <w:autoSpaceDN w:val="0"/>
              <w:adjustRightInd w:val="0"/>
              <w:spacing w:line="276" w:lineRule="auto"/>
              <w:jc w:val="both"/>
              <w:rPr>
                <w:rFonts w:cs="Arial"/>
                <w:sz w:val="22"/>
              </w:rPr>
            </w:pPr>
            <w:r w:rsidRPr="004321DB">
              <w:rPr>
                <w:rFonts w:cs="Arial"/>
                <w:sz w:val="22"/>
              </w:rPr>
              <w:t>Less Retained Business Rates</w:t>
            </w:r>
          </w:p>
        </w:tc>
        <w:tc>
          <w:tcPr>
            <w:tcW w:w="2184" w:type="dxa"/>
            <w:vAlign w:val="center"/>
          </w:tcPr>
          <w:p w:rsidR="0022038B" w:rsidRPr="004321DB" w:rsidRDefault="00624D24" w:rsidP="006050DB">
            <w:pPr>
              <w:autoSpaceDE w:val="0"/>
              <w:autoSpaceDN w:val="0"/>
              <w:adjustRightInd w:val="0"/>
              <w:spacing w:line="276" w:lineRule="auto"/>
              <w:jc w:val="center"/>
              <w:rPr>
                <w:rFonts w:cs="Arial"/>
                <w:sz w:val="22"/>
              </w:rPr>
            </w:pPr>
            <w:r>
              <w:rPr>
                <w:rFonts w:cs="Arial"/>
                <w:sz w:val="22"/>
              </w:rPr>
              <w:t>177.</w:t>
            </w:r>
            <w:r w:rsidR="00FA0012">
              <w:rPr>
                <w:rFonts w:cs="Arial"/>
                <w:sz w:val="22"/>
              </w:rPr>
              <w:t>98</w:t>
            </w:r>
            <w:r w:rsidR="006050DB">
              <w:rPr>
                <w:rFonts w:cs="Arial"/>
                <w:sz w:val="22"/>
              </w:rPr>
              <w:t>5</w:t>
            </w:r>
          </w:p>
        </w:tc>
      </w:tr>
      <w:tr w:rsidR="0022038B" w:rsidRPr="004321DB" w:rsidTr="00624D24">
        <w:trPr>
          <w:trHeight w:val="405"/>
        </w:trPr>
        <w:tc>
          <w:tcPr>
            <w:tcW w:w="4953" w:type="dxa"/>
            <w:vAlign w:val="center"/>
          </w:tcPr>
          <w:p w:rsidR="0022038B" w:rsidRPr="004321DB" w:rsidRDefault="0022038B" w:rsidP="005347EA">
            <w:pPr>
              <w:autoSpaceDE w:val="0"/>
              <w:autoSpaceDN w:val="0"/>
              <w:adjustRightInd w:val="0"/>
              <w:spacing w:line="276" w:lineRule="auto"/>
              <w:jc w:val="both"/>
              <w:rPr>
                <w:rFonts w:cs="Arial"/>
                <w:sz w:val="22"/>
              </w:rPr>
            </w:pPr>
            <w:r w:rsidRPr="004321DB">
              <w:rPr>
                <w:rFonts w:cs="Arial"/>
                <w:sz w:val="22"/>
              </w:rPr>
              <w:t>Less New Homes Bonus grant</w:t>
            </w:r>
          </w:p>
        </w:tc>
        <w:tc>
          <w:tcPr>
            <w:tcW w:w="2184" w:type="dxa"/>
            <w:vAlign w:val="center"/>
          </w:tcPr>
          <w:p w:rsidR="0022038B" w:rsidRPr="004321DB" w:rsidRDefault="00624D24" w:rsidP="005347EA">
            <w:pPr>
              <w:autoSpaceDE w:val="0"/>
              <w:autoSpaceDN w:val="0"/>
              <w:adjustRightInd w:val="0"/>
              <w:spacing w:line="276" w:lineRule="auto"/>
              <w:jc w:val="center"/>
              <w:rPr>
                <w:rFonts w:cs="Arial"/>
                <w:sz w:val="22"/>
              </w:rPr>
            </w:pPr>
            <w:r>
              <w:rPr>
                <w:rFonts w:cs="Arial"/>
                <w:sz w:val="22"/>
              </w:rPr>
              <w:t>5.084</w:t>
            </w:r>
          </w:p>
        </w:tc>
      </w:tr>
      <w:tr w:rsidR="0022038B" w:rsidRPr="004321DB" w:rsidTr="00624D24">
        <w:trPr>
          <w:trHeight w:val="405"/>
        </w:trPr>
        <w:tc>
          <w:tcPr>
            <w:tcW w:w="4953" w:type="dxa"/>
            <w:vAlign w:val="center"/>
          </w:tcPr>
          <w:p w:rsidR="0022038B" w:rsidRPr="004321DB" w:rsidRDefault="0022038B" w:rsidP="005347EA">
            <w:pPr>
              <w:autoSpaceDE w:val="0"/>
              <w:autoSpaceDN w:val="0"/>
              <w:adjustRightInd w:val="0"/>
              <w:spacing w:line="276" w:lineRule="auto"/>
              <w:jc w:val="both"/>
              <w:rPr>
                <w:rFonts w:cs="Arial"/>
                <w:b/>
                <w:sz w:val="22"/>
              </w:rPr>
            </w:pPr>
            <w:r w:rsidRPr="004321DB">
              <w:rPr>
                <w:rFonts w:cs="Arial"/>
                <w:b/>
                <w:sz w:val="22"/>
              </w:rPr>
              <w:t>Equals council tax cash</w:t>
            </w:r>
          </w:p>
        </w:tc>
        <w:tc>
          <w:tcPr>
            <w:tcW w:w="2184" w:type="dxa"/>
            <w:vAlign w:val="center"/>
          </w:tcPr>
          <w:p w:rsidR="0022038B" w:rsidRPr="004321DB" w:rsidRDefault="00624D24" w:rsidP="0036718B">
            <w:pPr>
              <w:autoSpaceDE w:val="0"/>
              <w:autoSpaceDN w:val="0"/>
              <w:adjustRightInd w:val="0"/>
              <w:spacing w:line="276" w:lineRule="auto"/>
              <w:jc w:val="center"/>
              <w:rPr>
                <w:rFonts w:cs="Arial"/>
                <w:b/>
                <w:sz w:val="22"/>
              </w:rPr>
            </w:pPr>
            <w:r>
              <w:rPr>
                <w:rFonts w:cs="Arial"/>
                <w:b/>
                <w:sz w:val="22"/>
              </w:rPr>
              <w:t>41</w:t>
            </w:r>
            <w:r w:rsidR="0036718B">
              <w:rPr>
                <w:rFonts w:cs="Arial"/>
                <w:b/>
                <w:sz w:val="22"/>
              </w:rPr>
              <w:t>0</w:t>
            </w:r>
            <w:r>
              <w:rPr>
                <w:rFonts w:cs="Arial"/>
                <w:b/>
                <w:sz w:val="22"/>
              </w:rPr>
              <w:t>.</w:t>
            </w:r>
            <w:r w:rsidR="0036718B">
              <w:rPr>
                <w:rFonts w:cs="Arial"/>
                <w:b/>
                <w:sz w:val="22"/>
              </w:rPr>
              <w:t>0</w:t>
            </w:r>
            <w:r>
              <w:rPr>
                <w:rFonts w:cs="Arial"/>
                <w:b/>
                <w:sz w:val="22"/>
              </w:rPr>
              <w:t>02</w:t>
            </w:r>
          </w:p>
        </w:tc>
      </w:tr>
      <w:tr w:rsidR="005347EA" w:rsidRPr="004321DB" w:rsidTr="005347EA">
        <w:trPr>
          <w:trHeight w:val="405"/>
        </w:trPr>
        <w:tc>
          <w:tcPr>
            <w:tcW w:w="4953" w:type="dxa"/>
            <w:shd w:val="clear" w:color="auto" w:fill="BFBFBF" w:themeFill="background1" w:themeFillShade="BF"/>
            <w:vAlign w:val="center"/>
          </w:tcPr>
          <w:p w:rsidR="005347EA" w:rsidRPr="004321DB" w:rsidRDefault="005347EA" w:rsidP="005347EA">
            <w:pPr>
              <w:autoSpaceDE w:val="0"/>
              <w:autoSpaceDN w:val="0"/>
              <w:adjustRightInd w:val="0"/>
              <w:jc w:val="both"/>
              <w:rPr>
                <w:rFonts w:cs="Arial"/>
                <w:sz w:val="22"/>
              </w:rPr>
            </w:pPr>
          </w:p>
        </w:tc>
        <w:tc>
          <w:tcPr>
            <w:tcW w:w="2184" w:type="dxa"/>
            <w:shd w:val="clear" w:color="auto" w:fill="BFBFBF" w:themeFill="background1" w:themeFillShade="BF"/>
            <w:vAlign w:val="center"/>
          </w:tcPr>
          <w:p w:rsidR="005347EA" w:rsidRPr="00FA0012" w:rsidRDefault="005347EA" w:rsidP="005347EA">
            <w:pPr>
              <w:autoSpaceDE w:val="0"/>
              <w:autoSpaceDN w:val="0"/>
              <w:adjustRightInd w:val="0"/>
              <w:jc w:val="center"/>
              <w:rPr>
                <w:rFonts w:cs="Arial"/>
                <w:sz w:val="22"/>
              </w:rPr>
            </w:pPr>
          </w:p>
        </w:tc>
      </w:tr>
      <w:tr w:rsidR="0022038B" w:rsidRPr="004321DB" w:rsidTr="00624D24">
        <w:trPr>
          <w:trHeight w:val="405"/>
        </w:trPr>
        <w:tc>
          <w:tcPr>
            <w:tcW w:w="4953" w:type="dxa"/>
            <w:vAlign w:val="center"/>
          </w:tcPr>
          <w:p w:rsidR="0022038B" w:rsidRPr="004321DB" w:rsidRDefault="0022038B" w:rsidP="005347EA">
            <w:pPr>
              <w:autoSpaceDE w:val="0"/>
              <w:autoSpaceDN w:val="0"/>
              <w:adjustRightInd w:val="0"/>
              <w:spacing w:line="276" w:lineRule="auto"/>
              <w:jc w:val="both"/>
              <w:rPr>
                <w:rFonts w:cs="Arial"/>
                <w:sz w:val="22"/>
              </w:rPr>
            </w:pPr>
            <w:r w:rsidRPr="004321DB">
              <w:rPr>
                <w:rFonts w:cs="Arial"/>
                <w:sz w:val="22"/>
              </w:rPr>
              <w:t>Divided by tax base</w:t>
            </w:r>
          </w:p>
        </w:tc>
        <w:tc>
          <w:tcPr>
            <w:tcW w:w="2184" w:type="dxa"/>
            <w:vAlign w:val="center"/>
          </w:tcPr>
          <w:p w:rsidR="0022038B" w:rsidRPr="004321DB" w:rsidRDefault="00FA0012" w:rsidP="005347EA">
            <w:pPr>
              <w:autoSpaceDE w:val="0"/>
              <w:autoSpaceDN w:val="0"/>
              <w:adjustRightInd w:val="0"/>
              <w:spacing w:line="276" w:lineRule="auto"/>
              <w:jc w:val="center"/>
              <w:rPr>
                <w:rFonts w:cs="Arial"/>
                <w:sz w:val="22"/>
              </w:rPr>
            </w:pPr>
            <w:r w:rsidRPr="00FA0012">
              <w:rPr>
                <w:rFonts w:cs="Arial"/>
                <w:sz w:val="22"/>
              </w:rPr>
              <w:t>348,980.09</w:t>
            </w:r>
          </w:p>
        </w:tc>
      </w:tr>
      <w:tr w:rsidR="0022038B" w:rsidRPr="004321DB" w:rsidTr="00624D24">
        <w:trPr>
          <w:trHeight w:val="405"/>
        </w:trPr>
        <w:tc>
          <w:tcPr>
            <w:tcW w:w="4953" w:type="dxa"/>
            <w:vAlign w:val="center"/>
          </w:tcPr>
          <w:p w:rsidR="0022038B" w:rsidRPr="004321DB" w:rsidRDefault="0022038B" w:rsidP="005347EA">
            <w:pPr>
              <w:autoSpaceDE w:val="0"/>
              <w:autoSpaceDN w:val="0"/>
              <w:adjustRightInd w:val="0"/>
              <w:spacing w:line="276" w:lineRule="auto"/>
              <w:jc w:val="both"/>
              <w:rPr>
                <w:rFonts w:cs="Arial"/>
                <w:sz w:val="22"/>
              </w:rPr>
            </w:pPr>
            <w:r w:rsidRPr="004321DB">
              <w:rPr>
                <w:rFonts w:cs="Arial"/>
                <w:sz w:val="22"/>
              </w:rPr>
              <w:t>G</w:t>
            </w:r>
            <w:r w:rsidR="00FA0012">
              <w:rPr>
                <w:rFonts w:cs="Arial"/>
                <w:sz w:val="22"/>
              </w:rPr>
              <w:t>ives Band D council tax for 2016</w:t>
            </w:r>
            <w:r w:rsidRPr="004321DB">
              <w:rPr>
                <w:rFonts w:cs="Arial"/>
                <w:sz w:val="22"/>
              </w:rPr>
              <w:t>/1</w:t>
            </w:r>
            <w:r w:rsidR="00FA0012">
              <w:rPr>
                <w:rFonts w:cs="Arial"/>
                <w:sz w:val="22"/>
              </w:rPr>
              <w:t>7</w:t>
            </w:r>
          </w:p>
        </w:tc>
        <w:tc>
          <w:tcPr>
            <w:tcW w:w="2184" w:type="dxa"/>
            <w:vAlign w:val="center"/>
          </w:tcPr>
          <w:p w:rsidR="0022038B" w:rsidRPr="004321DB" w:rsidRDefault="00624D24" w:rsidP="0036718B">
            <w:pPr>
              <w:autoSpaceDE w:val="0"/>
              <w:autoSpaceDN w:val="0"/>
              <w:adjustRightInd w:val="0"/>
              <w:spacing w:line="276" w:lineRule="auto"/>
              <w:jc w:val="center"/>
              <w:rPr>
                <w:rFonts w:cs="Arial"/>
                <w:sz w:val="22"/>
              </w:rPr>
            </w:pPr>
            <w:r>
              <w:rPr>
                <w:rFonts w:cs="Arial"/>
                <w:sz w:val="22"/>
              </w:rPr>
              <w:t>£</w:t>
            </w:r>
            <w:r w:rsidR="00BB0958" w:rsidRPr="00BB0958">
              <w:rPr>
                <w:rFonts w:cs="Arial"/>
                <w:sz w:val="22"/>
              </w:rPr>
              <w:t>1</w:t>
            </w:r>
            <w:r w:rsidR="00BB0958">
              <w:rPr>
                <w:rFonts w:cs="Arial"/>
                <w:sz w:val="22"/>
              </w:rPr>
              <w:t>,</w:t>
            </w:r>
            <w:r w:rsidR="0036718B">
              <w:rPr>
                <w:rFonts w:cs="Arial"/>
                <w:sz w:val="22"/>
              </w:rPr>
              <w:t>174.86</w:t>
            </w:r>
          </w:p>
        </w:tc>
      </w:tr>
      <w:tr w:rsidR="0022038B" w:rsidRPr="004321DB" w:rsidTr="00624D24">
        <w:trPr>
          <w:trHeight w:val="405"/>
        </w:trPr>
        <w:tc>
          <w:tcPr>
            <w:tcW w:w="4953" w:type="dxa"/>
            <w:vAlign w:val="center"/>
          </w:tcPr>
          <w:p w:rsidR="0022038B" w:rsidRPr="004321DB" w:rsidRDefault="0022038B" w:rsidP="005347EA">
            <w:pPr>
              <w:autoSpaceDE w:val="0"/>
              <w:autoSpaceDN w:val="0"/>
              <w:adjustRightInd w:val="0"/>
              <w:spacing w:line="276" w:lineRule="auto"/>
              <w:jc w:val="both"/>
              <w:rPr>
                <w:rFonts w:cs="Arial"/>
                <w:sz w:val="22"/>
              </w:rPr>
            </w:pPr>
            <w:r w:rsidRPr="004321DB">
              <w:rPr>
                <w:rFonts w:cs="Arial"/>
                <w:sz w:val="22"/>
              </w:rPr>
              <w:t>201</w:t>
            </w:r>
            <w:r w:rsidR="00EC11C4" w:rsidRPr="004321DB">
              <w:rPr>
                <w:rFonts w:cs="Arial"/>
                <w:sz w:val="22"/>
              </w:rPr>
              <w:t>5</w:t>
            </w:r>
            <w:r w:rsidRPr="004321DB">
              <w:rPr>
                <w:rFonts w:cs="Arial"/>
                <w:sz w:val="22"/>
              </w:rPr>
              <w:t>/1</w:t>
            </w:r>
            <w:r w:rsidR="00EC11C4" w:rsidRPr="004321DB">
              <w:rPr>
                <w:rFonts w:cs="Arial"/>
                <w:sz w:val="22"/>
              </w:rPr>
              <w:t>6</w:t>
            </w:r>
            <w:r w:rsidRPr="004321DB">
              <w:rPr>
                <w:rFonts w:cs="Arial"/>
                <w:sz w:val="22"/>
              </w:rPr>
              <w:t xml:space="preserve"> council tax</w:t>
            </w:r>
          </w:p>
        </w:tc>
        <w:tc>
          <w:tcPr>
            <w:tcW w:w="2184" w:type="dxa"/>
            <w:vAlign w:val="center"/>
          </w:tcPr>
          <w:p w:rsidR="0022038B" w:rsidRPr="004321DB" w:rsidRDefault="005347EA" w:rsidP="005347EA">
            <w:pPr>
              <w:autoSpaceDE w:val="0"/>
              <w:autoSpaceDN w:val="0"/>
              <w:adjustRightInd w:val="0"/>
              <w:spacing w:line="276" w:lineRule="auto"/>
              <w:jc w:val="center"/>
              <w:rPr>
                <w:rFonts w:cs="Arial"/>
                <w:sz w:val="22"/>
              </w:rPr>
            </w:pPr>
            <w:r>
              <w:rPr>
                <w:rFonts w:cs="Arial"/>
                <w:sz w:val="22"/>
              </w:rPr>
              <w:t>£</w:t>
            </w:r>
            <w:r w:rsidR="0022038B" w:rsidRPr="004321DB">
              <w:rPr>
                <w:rFonts w:cs="Arial"/>
                <w:sz w:val="22"/>
              </w:rPr>
              <w:t>1,</w:t>
            </w:r>
            <w:r w:rsidR="00EC11C4" w:rsidRPr="004321DB">
              <w:rPr>
                <w:rFonts w:cs="Arial"/>
                <w:sz w:val="22"/>
              </w:rPr>
              <w:t>129.78</w:t>
            </w:r>
          </w:p>
        </w:tc>
      </w:tr>
      <w:tr w:rsidR="0022038B" w:rsidRPr="004321DB" w:rsidTr="00624D24">
        <w:trPr>
          <w:trHeight w:val="405"/>
        </w:trPr>
        <w:tc>
          <w:tcPr>
            <w:tcW w:w="4953" w:type="dxa"/>
            <w:vAlign w:val="center"/>
          </w:tcPr>
          <w:p w:rsidR="0022038B" w:rsidRPr="00862074" w:rsidRDefault="00862074" w:rsidP="005347EA">
            <w:pPr>
              <w:autoSpaceDE w:val="0"/>
              <w:autoSpaceDN w:val="0"/>
              <w:adjustRightInd w:val="0"/>
              <w:spacing w:line="276" w:lineRule="auto"/>
              <w:jc w:val="both"/>
              <w:rPr>
                <w:rFonts w:cs="Arial"/>
                <w:b/>
                <w:sz w:val="22"/>
              </w:rPr>
            </w:pPr>
            <w:r w:rsidRPr="00862074">
              <w:rPr>
                <w:rFonts w:cs="Arial"/>
                <w:b/>
                <w:sz w:val="22"/>
              </w:rPr>
              <w:t>Percentage increase</w:t>
            </w:r>
          </w:p>
        </w:tc>
        <w:tc>
          <w:tcPr>
            <w:tcW w:w="2184" w:type="dxa"/>
            <w:vAlign w:val="center"/>
          </w:tcPr>
          <w:p w:rsidR="0022038B" w:rsidRPr="00862074" w:rsidRDefault="002C7EEA" w:rsidP="005347EA">
            <w:pPr>
              <w:autoSpaceDE w:val="0"/>
              <w:autoSpaceDN w:val="0"/>
              <w:adjustRightInd w:val="0"/>
              <w:spacing w:line="276" w:lineRule="auto"/>
              <w:jc w:val="center"/>
              <w:rPr>
                <w:rFonts w:cs="Arial"/>
                <w:b/>
                <w:sz w:val="22"/>
              </w:rPr>
            </w:pPr>
            <w:r w:rsidRPr="00862074">
              <w:rPr>
                <w:rFonts w:cs="Arial"/>
                <w:b/>
                <w:sz w:val="22"/>
              </w:rPr>
              <w:t>3.99</w:t>
            </w:r>
            <w:r w:rsidR="0022038B" w:rsidRPr="00862074">
              <w:rPr>
                <w:rFonts w:cs="Arial"/>
                <w:b/>
                <w:sz w:val="22"/>
              </w:rPr>
              <w:t>%</w:t>
            </w:r>
          </w:p>
        </w:tc>
      </w:tr>
    </w:tbl>
    <w:p w:rsidR="00670AB0" w:rsidRDefault="00670AB0" w:rsidP="004321DB">
      <w:pPr>
        <w:spacing w:after="0"/>
        <w:jc w:val="both"/>
        <w:rPr>
          <w:rFonts w:cs="Arial"/>
          <w:b/>
          <w:bCs/>
          <w:szCs w:val="24"/>
        </w:rPr>
      </w:pPr>
    </w:p>
    <w:p w:rsidR="00343217" w:rsidRPr="004321DB" w:rsidRDefault="004321DB" w:rsidP="004321DB">
      <w:pPr>
        <w:spacing w:after="0"/>
        <w:jc w:val="both"/>
        <w:rPr>
          <w:rFonts w:cs="Arial"/>
          <w:b/>
          <w:szCs w:val="24"/>
        </w:rPr>
      </w:pPr>
      <w:r>
        <w:rPr>
          <w:rFonts w:cs="Arial"/>
          <w:b/>
          <w:bCs/>
          <w:szCs w:val="24"/>
        </w:rPr>
        <w:t xml:space="preserve">9. </w:t>
      </w:r>
      <w:r w:rsidR="00343217" w:rsidRPr="004321DB">
        <w:rPr>
          <w:rFonts w:cs="Arial"/>
          <w:b/>
          <w:bCs/>
          <w:szCs w:val="24"/>
        </w:rPr>
        <w:t>Consultation Feedback</w:t>
      </w:r>
    </w:p>
    <w:p w:rsidR="00D467C0" w:rsidRPr="005A65D5" w:rsidRDefault="00D467C0" w:rsidP="004321DB">
      <w:pPr>
        <w:pStyle w:val="NoSpacing"/>
        <w:spacing w:line="276" w:lineRule="auto"/>
        <w:jc w:val="both"/>
        <w:rPr>
          <w:rFonts w:ascii="Arial" w:hAnsi="Arial" w:cs="Arial"/>
        </w:rPr>
      </w:pPr>
    </w:p>
    <w:p w:rsidR="004321DB" w:rsidRDefault="00D467C0" w:rsidP="004321DB">
      <w:pPr>
        <w:spacing w:after="0"/>
        <w:jc w:val="both"/>
        <w:rPr>
          <w:rFonts w:cs="Arial"/>
          <w:szCs w:val="24"/>
        </w:rPr>
      </w:pPr>
      <w:r w:rsidRPr="005A65D5">
        <w:rPr>
          <w:rFonts w:cs="Arial"/>
          <w:szCs w:val="24"/>
        </w:rPr>
        <w:t xml:space="preserve">In framing its budget proposals </w:t>
      </w:r>
      <w:r w:rsidR="005347EA">
        <w:rPr>
          <w:rFonts w:cs="Arial"/>
          <w:szCs w:val="24"/>
        </w:rPr>
        <w:t>on 26</w:t>
      </w:r>
      <w:r w:rsidR="005347EA" w:rsidRPr="005347EA">
        <w:rPr>
          <w:rFonts w:cs="Arial"/>
          <w:szCs w:val="24"/>
          <w:vertAlign w:val="superscript"/>
        </w:rPr>
        <w:t>th</w:t>
      </w:r>
      <w:r w:rsidR="005347EA">
        <w:rPr>
          <w:rFonts w:cs="Arial"/>
          <w:szCs w:val="24"/>
        </w:rPr>
        <w:t xml:space="preserve"> November 2015, </w:t>
      </w:r>
      <w:r w:rsidR="00343217" w:rsidRPr="005A65D5">
        <w:rPr>
          <w:rFonts w:cs="Arial"/>
          <w:szCs w:val="24"/>
        </w:rPr>
        <w:t xml:space="preserve">the Cabinet </w:t>
      </w:r>
      <w:r w:rsidR="00031FEC" w:rsidRPr="005A65D5">
        <w:rPr>
          <w:rFonts w:cs="Arial"/>
          <w:szCs w:val="24"/>
        </w:rPr>
        <w:t>resolved that the budget proposals be approved, officers be authorised to proceed with their implementation subject to</w:t>
      </w:r>
      <w:r w:rsidR="005347EA">
        <w:rPr>
          <w:rFonts w:cs="Arial"/>
          <w:szCs w:val="24"/>
        </w:rPr>
        <w:t xml:space="preserve"> consultation where appropriate</w:t>
      </w:r>
      <w:r w:rsidR="00031FEC" w:rsidRPr="005A65D5">
        <w:rPr>
          <w:rFonts w:cs="Arial"/>
          <w:szCs w:val="24"/>
        </w:rPr>
        <w:t xml:space="preserve"> and that the 2016/17 budget be prepared based upon these rev</w:t>
      </w:r>
      <w:r w:rsidR="005347EA">
        <w:rPr>
          <w:rFonts w:cs="Arial"/>
          <w:szCs w:val="24"/>
        </w:rPr>
        <w:t>enue decisions be agreed. T</w:t>
      </w:r>
      <w:r w:rsidR="00031FEC" w:rsidRPr="005A65D5">
        <w:rPr>
          <w:rFonts w:cs="Arial"/>
          <w:szCs w:val="24"/>
        </w:rPr>
        <w:t xml:space="preserve">he outcome of any consultations </w:t>
      </w:r>
      <w:r w:rsidR="005347EA">
        <w:rPr>
          <w:rFonts w:cs="Arial"/>
          <w:szCs w:val="24"/>
        </w:rPr>
        <w:t>will be</w:t>
      </w:r>
      <w:r w:rsidR="00031FEC" w:rsidRPr="005A65D5">
        <w:rPr>
          <w:rFonts w:cs="Arial"/>
          <w:szCs w:val="24"/>
        </w:rPr>
        <w:t xml:space="preserve"> reported to Full Council.</w:t>
      </w:r>
    </w:p>
    <w:p w:rsidR="005347EA" w:rsidRPr="005A65D5" w:rsidRDefault="005347EA" w:rsidP="004321DB">
      <w:pPr>
        <w:spacing w:after="0"/>
        <w:jc w:val="both"/>
        <w:rPr>
          <w:rFonts w:cs="Arial"/>
          <w:szCs w:val="24"/>
        </w:rPr>
      </w:pPr>
    </w:p>
    <w:p w:rsidR="00031FEC" w:rsidRDefault="00031FEC" w:rsidP="004321DB">
      <w:pPr>
        <w:spacing w:after="0"/>
        <w:jc w:val="both"/>
        <w:rPr>
          <w:rFonts w:cs="Arial"/>
          <w:szCs w:val="24"/>
        </w:rPr>
      </w:pPr>
      <w:r w:rsidRPr="005A65D5">
        <w:rPr>
          <w:rFonts w:cs="Arial"/>
          <w:szCs w:val="24"/>
        </w:rPr>
        <w:t xml:space="preserve">For the consultation, a letter from the leader outlining the </w:t>
      </w:r>
      <w:r w:rsidR="00AF1CEB" w:rsidRPr="005A65D5">
        <w:rPr>
          <w:rFonts w:cs="Arial"/>
          <w:szCs w:val="24"/>
        </w:rPr>
        <w:t>financial</w:t>
      </w:r>
      <w:r w:rsidRPr="005A65D5">
        <w:rPr>
          <w:rFonts w:cs="Arial"/>
          <w:szCs w:val="24"/>
        </w:rPr>
        <w:t xml:space="preserve"> situation, a link to the full list of proposals and a link to an electronic questionnaire were sent on 10 December. Alternatively, respondents could email their reply. They were asked to include their thoughts on actions that could be taken to mitigate the impact of the policy decisions and budget reductions. The closing date for the consultation was 18 January 2016.</w:t>
      </w:r>
    </w:p>
    <w:p w:rsidR="004321DB" w:rsidRPr="005A65D5" w:rsidRDefault="004321DB" w:rsidP="004321DB">
      <w:pPr>
        <w:spacing w:after="0"/>
        <w:jc w:val="both"/>
        <w:rPr>
          <w:rFonts w:cs="Arial"/>
          <w:szCs w:val="24"/>
        </w:rPr>
      </w:pPr>
    </w:p>
    <w:p w:rsidR="00031FEC" w:rsidRDefault="00031FEC" w:rsidP="004321DB">
      <w:pPr>
        <w:spacing w:after="0"/>
        <w:jc w:val="both"/>
        <w:rPr>
          <w:rFonts w:cs="Arial"/>
          <w:szCs w:val="24"/>
        </w:rPr>
      </w:pPr>
      <w:r w:rsidRPr="005A65D5">
        <w:rPr>
          <w:rFonts w:cs="Arial"/>
          <w:szCs w:val="24"/>
        </w:rPr>
        <w:t>The letter was sent by email to 334 partners and stakeholders by email</w:t>
      </w:r>
      <w:r w:rsidR="00624D24">
        <w:rPr>
          <w:rFonts w:cs="Arial"/>
          <w:szCs w:val="24"/>
        </w:rPr>
        <w:t xml:space="preserve"> and was also published on the County C</w:t>
      </w:r>
      <w:r w:rsidRPr="005A65D5">
        <w:rPr>
          <w:rFonts w:cs="Arial"/>
          <w:szCs w:val="24"/>
        </w:rPr>
        <w:t xml:space="preserve">ouncil's </w:t>
      </w:r>
      <w:r w:rsidR="00624D24">
        <w:rPr>
          <w:rFonts w:cs="Arial"/>
          <w:szCs w:val="24"/>
        </w:rPr>
        <w:t>"</w:t>
      </w:r>
      <w:r w:rsidRPr="005A65D5">
        <w:rPr>
          <w:rFonts w:cs="Arial"/>
          <w:szCs w:val="24"/>
        </w:rPr>
        <w:t>Have Your Say</w:t>
      </w:r>
      <w:r w:rsidR="00624D24">
        <w:rPr>
          <w:rFonts w:cs="Arial"/>
          <w:szCs w:val="24"/>
        </w:rPr>
        <w:t>"</w:t>
      </w:r>
      <w:r w:rsidRPr="005A65D5">
        <w:rPr>
          <w:rFonts w:cs="Arial"/>
          <w:szCs w:val="24"/>
        </w:rPr>
        <w:t xml:space="preserve"> webpage, where it is available for anyone to complete.</w:t>
      </w:r>
    </w:p>
    <w:p w:rsidR="004321DB" w:rsidRPr="005A65D5" w:rsidRDefault="004321DB" w:rsidP="004321DB">
      <w:pPr>
        <w:spacing w:after="0"/>
        <w:jc w:val="both"/>
        <w:rPr>
          <w:rFonts w:cs="Arial"/>
          <w:szCs w:val="24"/>
        </w:rPr>
      </w:pPr>
    </w:p>
    <w:p w:rsidR="00AF1CEB" w:rsidRPr="005A65D5" w:rsidRDefault="00AF1CEB" w:rsidP="004321DB">
      <w:pPr>
        <w:autoSpaceDE w:val="0"/>
        <w:autoSpaceDN w:val="0"/>
        <w:adjustRightInd w:val="0"/>
        <w:spacing w:after="0"/>
        <w:jc w:val="both"/>
        <w:rPr>
          <w:rFonts w:cs="Arial"/>
          <w:szCs w:val="24"/>
        </w:rPr>
      </w:pPr>
      <w:r w:rsidRPr="005A65D5">
        <w:rPr>
          <w:rFonts w:cs="Arial"/>
          <w:szCs w:val="24"/>
        </w:rPr>
        <w:t>There were a limited number of respondents who a</w:t>
      </w:r>
      <w:r w:rsidR="004321DB">
        <w:rPr>
          <w:rFonts w:cs="Arial"/>
          <w:szCs w:val="24"/>
        </w:rPr>
        <w:t xml:space="preserve">greed with the budget proposals but </w:t>
      </w:r>
      <w:r w:rsidRPr="005A65D5">
        <w:rPr>
          <w:rFonts w:cs="Arial"/>
          <w:szCs w:val="24"/>
        </w:rPr>
        <w:t>the majority of respondents were opposed to the proposals.</w:t>
      </w:r>
    </w:p>
    <w:p w:rsidR="00AF1CEB" w:rsidRDefault="003803BF" w:rsidP="004321DB">
      <w:pPr>
        <w:autoSpaceDE w:val="0"/>
        <w:autoSpaceDN w:val="0"/>
        <w:adjustRightInd w:val="0"/>
        <w:spacing w:after="0"/>
        <w:jc w:val="both"/>
        <w:rPr>
          <w:rFonts w:cs="Arial"/>
          <w:szCs w:val="24"/>
        </w:rPr>
      </w:pPr>
      <w:r>
        <w:rPr>
          <w:rFonts w:cs="Arial"/>
          <w:szCs w:val="24"/>
        </w:rPr>
        <w:t>Respondents felt that the County C</w:t>
      </w:r>
      <w:r w:rsidR="00AF1CEB" w:rsidRPr="005A65D5">
        <w:rPr>
          <w:rFonts w:cs="Arial"/>
          <w:szCs w:val="24"/>
        </w:rPr>
        <w:t>ouncil should consider:</w:t>
      </w:r>
    </w:p>
    <w:p w:rsidR="00E22728" w:rsidRPr="005A65D5" w:rsidRDefault="00E22728" w:rsidP="004321DB">
      <w:pPr>
        <w:autoSpaceDE w:val="0"/>
        <w:autoSpaceDN w:val="0"/>
        <w:adjustRightInd w:val="0"/>
        <w:spacing w:after="0"/>
        <w:jc w:val="both"/>
        <w:rPr>
          <w:rFonts w:cs="Arial"/>
          <w:szCs w:val="24"/>
        </w:rPr>
      </w:pPr>
    </w:p>
    <w:p w:rsidR="004321DB" w:rsidRDefault="00AF1CEB" w:rsidP="00EA505A">
      <w:pPr>
        <w:pStyle w:val="ListParagraph"/>
        <w:numPr>
          <w:ilvl w:val="0"/>
          <w:numId w:val="4"/>
        </w:numPr>
        <w:autoSpaceDE w:val="0"/>
        <w:autoSpaceDN w:val="0"/>
        <w:adjustRightInd w:val="0"/>
        <w:spacing w:after="0"/>
        <w:ind w:left="284" w:hanging="284"/>
        <w:jc w:val="both"/>
        <w:rPr>
          <w:rFonts w:cs="Arial"/>
          <w:szCs w:val="24"/>
        </w:rPr>
      </w:pPr>
      <w:r w:rsidRPr="004321DB">
        <w:rPr>
          <w:rFonts w:cs="Arial"/>
          <w:szCs w:val="24"/>
        </w:rPr>
        <w:t>the future impacts of the budget proposal on other services, and other</w:t>
      </w:r>
      <w:r w:rsidR="004321DB">
        <w:rPr>
          <w:rFonts w:cs="Arial"/>
          <w:szCs w:val="24"/>
        </w:rPr>
        <w:t xml:space="preserve"> </w:t>
      </w:r>
      <w:r w:rsidRPr="004321DB">
        <w:rPr>
          <w:rFonts w:cs="Arial"/>
          <w:szCs w:val="24"/>
        </w:rPr>
        <w:t>organisations and their services;</w:t>
      </w:r>
    </w:p>
    <w:p w:rsidR="00AF1CEB" w:rsidRPr="004321DB" w:rsidRDefault="00AF1CEB" w:rsidP="00EA505A">
      <w:pPr>
        <w:pStyle w:val="ListParagraph"/>
        <w:numPr>
          <w:ilvl w:val="0"/>
          <w:numId w:val="4"/>
        </w:numPr>
        <w:autoSpaceDE w:val="0"/>
        <w:autoSpaceDN w:val="0"/>
        <w:adjustRightInd w:val="0"/>
        <w:spacing w:after="0"/>
        <w:ind w:left="284" w:hanging="284"/>
        <w:jc w:val="both"/>
        <w:rPr>
          <w:rFonts w:cs="Arial"/>
          <w:szCs w:val="24"/>
        </w:rPr>
      </w:pPr>
      <w:r w:rsidRPr="004321DB">
        <w:rPr>
          <w:rFonts w:cs="Arial"/>
          <w:szCs w:val="24"/>
        </w:rPr>
        <w:t>the cumulative impact of some of the proposals on groups, communities and</w:t>
      </w:r>
      <w:r w:rsidR="004321DB" w:rsidRPr="004321DB">
        <w:rPr>
          <w:rFonts w:cs="Arial"/>
          <w:szCs w:val="24"/>
        </w:rPr>
        <w:t xml:space="preserve"> </w:t>
      </w:r>
      <w:r w:rsidRPr="004321DB">
        <w:rPr>
          <w:rFonts w:cs="Arial"/>
          <w:szCs w:val="24"/>
        </w:rPr>
        <w:t>areas; and</w:t>
      </w:r>
    </w:p>
    <w:p w:rsidR="00AF1CEB" w:rsidRPr="004321DB" w:rsidRDefault="005107A8" w:rsidP="00EA505A">
      <w:pPr>
        <w:pStyle w:val="ListParagraph"/>
        <w:numPr>
          <w:ilvl w:val="0"/>
          <w:numId w:val="4"/>
        </w:numPr>
        <w:autoSpaceDE w:val="0"/>
        <w:autoSpaceDN w:val="0"/>
        <w:adjustRightInd w:val="0"/>
        <w:spacing w:after="0"/>
        <w:ind w:left="284" w:hanging="284"/>
        <w:jc w:val="both"/>
        <w:rPr>
          <w:rFonts w:cs="Arial"/>
          <w:szCs w:val="24"/>
        </w:rPr>
      </w:pPr>
      <w:proofErr w:type="gramStart"/>
      <w:r>
        <w:rPr>
          <w:rFonts w:cs="Arial"/>
          <w:szCs w:val="24"/>
        </w:rPr>
        <w:lastRenderedPageBreak/>
        <w:t>the</w:t>
      </w:r>
      <w:proofErr w:type="gramEnd"/>
      <w:r>
        <w:rPr>
          <w:rFonts w:cs="Arial"/>
          <w:szCs w:val="24"/>
        </w:rPr>
        <w:t xml:space="preserve"> </w:t>
      </w:r>
      <w:r w:rsidR="00AF1CEB" w:rsidRPr="004321DB">
        <w:rPr>
          <w:rFonts w:cs="Arial"/>
          <w:szCs w:val="24"/>
        </w:rPr>
        <w:t>impact of the budget proposals on those no longer receiving services,</w:t>
      </w:r>
      <w:r w:rsidR="004321DB" w:rsidRPr="004321DB">
        <w:rPr>
          <w:rFonts w:cs="Arial"/>
          <w:szCs w:val="24"/>
        </w:rPr>
        <w:t xml:space="preserve"> </w:t>
      </w:r>
      <w:r w:rsidR="00AF1CEB" w:rsidRPr="004321DB">
        <w:rPr>
          <w:rFonts w:cs="Arial"/>
          <w:szCs w:val="24"/>
        </w:rPr>
        <w:t>particularly those who are seen as vulnerable people.</w:t>
      </w:r>
    </w:p>
    <w:p w:rsidR="00AF1CEB" w:rsidRPr="005A65D5" w:rsidRDefault="00AF1CEB" w:rsidP="004321DB">
      <w:pPr>
        <w:autoSpaceDE w:val="0"/>
        <w:autoSpaceDN w:val="0"/>
        <w:adjustRightInd w:val="0"/>
        <w:spacing w:after="0"/>
        <w:jc w:val="both"/>
        <w:rPr>
          <w:rFonts w:cs="Arial"/>
          <w:szCs w:val="24"/>
        </w:rPr>
      </w:pPr>
    </w:p>
    <w:p w:rsidR="00031FEC" w:rsidRPr="005A65D5" w:rsidRDefault="00AF1CEB" w:rsidP="004321DB">
      <w:pPr>
        <w:autoSpaceDE w:val="0"/>
        <w:autoSpaceDN w:val="0"/>
        <w:adjustRightInd w:val="0"/>
        <w:spacing w:after="0"/>
        <w:jc w:val="both"/>
        <w:rPr>
          <w:rFonts w:cs="Arial"/>
          <w:szCs w:val="24"/>
        </w:rPr>
      </w:pPr>
      <w:r w:rsidRPr="005A65D5">
        <w:rPr>
          <w:rFonts w:cs="Arial"/>
          <w:szCs w:val="24"/>
        </w:rPr>
        <w:t>Some respondents asked for the opportunity to explore other options prior to budgets being reduced, further detailed information on costs and mitigations, and for the council to better to communicate the reasons for the cuts.</w:t>
      </w:r>
      <w:r w:rsidR="00031FEC" w:rsidRPr="005A65D5">
        <w:rPr>
          <w:rFonts w:cs="Arial"/>
          <w:szCs w:val="24"/>
        </w:rPr>
        <w:t xml:space="preserve"> </w:t>
      </w:r>
    </w:p>
    <w:p w:rsidR="00343217" w:rsidRPr="005A65D5" w:rsidRDefault="00AF1CEB" w:rsidP="004321DB">
      <w:pPr>
        <w:spacing w:after="0"/>
        <w:jc w:val="both"/>
        <w:rPr>
          <w:rFonts w:cs="Arial"/>
          <w:szCs w:val="24"/>
        </w:rPr>
      </w:pPr>
      <w:r w:rsidRPr="005A65D5">
        <w:rPr>
          <w:rFonts w:cs="Arial"/>
          <w:szCs w:val="24"/>
        </w:rPr>
        <w:t xml:space="preserve"> </w:t>
      </w:r>
    </w:p>
    <w:p w:rsidR="00AF1CEB" w:rsidRPr="005A65D5" w:rsidRDefault="00AF1CEB" w:rsidP="004321DB">
      <w:pPr>
        <w:spacing w:after="0"/>
        <w:jc w:val="both"/>
        <w:rPr>
          <w:rFonts w:cs="Arial"/>
          <w:szCs w:val="24"/>
        </w:rPr>
      </w:pPr>
      <w:r w:rsidRPr="005A65D5">
        <w:rPr>
          <w:rFonts w:cs="Arial"/>
          <w:szCs w:val="24"/>
        </w:rPr>
        <w:t>A report on the results of the Consultation was presente</w:t>
      </w:r>
      <w:r w:rsidR="0031170D">
        <w:rPr>
          <w:rFonts w:cs="Arial"/>
          <w:szCs w:val="24"/>
        </w:rPr>
        <w:t>d to Cabinet on 21</w:t>
      </w:r>
      <w:r w:rsidR="00670AB0" w:rsidRPr="00670AB0">
        <w:rPr>
          <w:rFonts w:cs="Arial"/>
          <w:szCs w:val="24"/>
          <w:vertAlign w:val="superscript"/>
        </w:rPr>
        <w:t>st</w:t>
      </w:r>
      <w:r w:rsidR="00670AB0">
        <w:rPr>
          <w:rFonts w:cs="Arial"/>
          <w:szCs w:val="24"/>
        </w:rPr>
        <w:t xml:space="preserve"> </w:t>
      </w:r>
      <w:r w:rsidR="0031170D">
        <w:rPr>
          <w:rFonts w:cs="Arial"/>
          <w:szCs w:val="24"/>
        </w:rPr>
        <w:t>January 2016.</w:t>
      </w:r>
    </w:p>
    <w:p w:rsidR="00AF1CEB" w:rsidRPr="005A65D5" w:rsidRDefault="00AF1CEB" w:rsidP="004321DB">
      <w:pPr>
        <w:spacing w:after="0"/>
        <w:jc w:val="both"/>
        <w:rPr>
          <w:rFonts w:cs="Arial"/>
          <w:szCs w:val="24"/>
        </w:rPr>
      </w:pPr>
    </w:p>
    <w:p w:rsidR="00D50233" w:rsidRPr="005A65D5" w:rsidRDefault="004321DB" w:rsidP="004321DB">
      <w:pPr>
        <w:spacing w:after="0"/>
        <w:jc w:val="both"/>
        <w:rPr>
          <w:rFonts w:cs="Arial"/>
          <w:b/>
          <w:szCs w:val="24"/>
        </w:rPr>
      </w:pPr>
      <w:r>
        <w:rPr>
          <w:rFonts w:cs="Arial"/>
          <w:b/>
          <w:szCs w:val="24"/>
        </w:rPr>
        <w:t xml:space="preserve">10. </w:t>
      </w:r>
      <w:r w:rsidR="00D50233" w:rsidRPr="005A65D5">
        <w:rPr>
          <w:rFonts w:cs="Arial"/>
          <w:b/>
          <w:szCs w:val="24"/>
        </w:rPr>
        <w:t>Equality and Diversity</w:t>
      </w:r>
    </w:p>
    <w:p w:rsidR="00D50233" w:rsidRPr="005A65D5" w:rsidRDefault="00D50233" w:rsidP="004321DB">
      <w:pPr>
        <w:spacing w:after="0"/>
        <w:ind w:left="360"/>
        <w:jc w:val="both"/>
        <w:rPr>
          <w:rFonts w:cs="Arial"/>
          <w:b/>
          <w:szCs w:val="24"/>
        </w:rPr>
      </w:pPr>
    </w:p>
    <w:p w:rsidR="00216070" w:rsidRPr="005A65D5" w:rsidRDefault="00216070" w:rsidP="004321DB">
      <w:pPr>
        <w:spacing w:after="0"/>
        <w:jc w:val="both"/>
        <w:rPr>
          <w:rFonts w:cs="Arial"/>
          <w:szCs w:val="24"/>
        </w:rPr>
      </w:pPr>
      <w:r w:rsidRPr="005A65D5">
        <w:rPr>
          <w:rFonts w:cs="Arial"/>
          <w:szCs w:val="24"/>
        </w:rPr>
        <w:t xml:space="preserve">The consideration of savings proposals will also take full account of the </w:t>
      </w:r>
      <w:r w:rsidR="00670AB0">
        <w:rPr>
          <w:rFonts w:cs="Arial"/>
          <w:szCs w:val="24"/>
        </w:rPr>
        <w:t xml:space="preserve">County Council's duty under Section </w:t>
      </w:r>
      <w:r w:rsidRPr="005A65D5">
        <w:rPr>
          <w:rFonts w:cs="Arial"/>
          <w:szCs w:val="24"/>
        </w:rPr>
        <w:t>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Where necessary this consideration will involve consultation with those people who may be adversely affected by the proposals.</w:t>
      </w:r>
    </w:p>
    <w:p w:rsidR="00216070" w:rsidRPr="005A65D5" w:rsidRDefault="00216070" w:rsidP="004321DB">
      <w:pPr>
        <w:spacing w:after="0"/>
        <w:jc w:val="both"/>
        <w:rPr>
          <w:rFonts w:cs="Arial"/>
          <w:szCs w:val="24"/>
        </w:rPr>
      </w:pPr>
    </w:p>
    <w:p w:rsidR="00216070" w:rsidRPr="005A65D5" w:rsidRDefault="00216070" w:rsidP="004321DB">
      <w:pPr>
        <w:spacing w:after="0"/>
        <w:jc w:val="both"/>
        <w:rPr>
          <w:rFonts w:cs="Arial"/>
          <w:szCs w:val="24"/>
        </w:rPr>
      </w:pPr>
      <w:r w:rsidRPr="005A65D5">
        <w:rPr>
          <w:rFonts w:cs="Arial"/>
          <w:szCs w:val="24"/>
        </w:rPr>
        <w:t>Having due regard means analysing at each step of formulating, deciding upon and implementing policy what the effect of that policy is</w:t>
      </w:r>
      <w:r w:rsidR="00881BB5" w:rsidRPr="005A65D5">
        <w:rPr>
          <w:rFonts w:cs="Arial"/>
          <w:szCs w:val="24"/>
        </w:rPr>
        <w:t>,</w:t>
      </w:r>
      <w:r w:rsidRPr="005A65D5">
        <w:rPr>
          <w:rFonts w:cs="Arial"/>
          <w:szCs w:val="24"/>
        </w:rPr>
        <w:t xml:space="preserve"> or may be</w:t>
      </w:r>
      <w:r w:rsidR="00881BB5" w:rsidRPr="005A65D5">
        <w:rPr>
          <w:rFonts w:cs="Arial"/>
          <w:szCs w:val="24"/>
        </w:rPr>
        <w:t>,</w:t>
      </w:r>
      <w:r w:rsidRPr="005A65D5">
        <w:rPr>
          <w:rFonts w:cs="Arial"/>
          <w:szCs w:val="24"/>
        </w:rPr>
        <w:t xml:space="preserve"> upon groups who share protected characteristics defined by the Act. The protected characteristics are: age, disability, gender reassignment, race, sex, religion or belief, sexual orientation or pregnancy and maternity, and, in some circumstances, marriage and civil partnership status.</w:t>
      </w:r>
    </w:p>
    <w:p w:rsidR="00216070" w:rsidRPr="005A65D5" w:rsidRDefault="00216070" w:rsidP="004321DB">
      <w:pPr>
        <w:spacing w:after="0"/>
        <w:jc w:val="both"/>
        <w:rPr>
          <w:rFonts w:cs="Arial"/>
          <w:szCs w:val="24"/>
        </w:rPr>
      </w:pPr>
    </w:p>
    <w:p w:rsidR="00216070" w:rsidRPr="005A65D5" w:rsidRDefault="00216070" w:rsidP="004321DB">
      <w:pPr>
        <w:spacing w:after="0"/>
        <w:jc w:val="both"/>
        <w:rPr>
          <w:rFonts w:cs="Arial"/>
          <w:szCs w:val="24"/>
        </w:rPr>
      </w:pPr>
      <w:r w:rsidRPr="005A65D5">
        <w:rPr>
          <w:rFonts w:cs="Arial"/>
          <w:szCs w:val="24"/>
        </w:rPr>
        <w:t>Where analysis shows that there may be a possible negative impact it will then be necessary to consider whether any steps can be taken to mitigate or reduce the potential adverse effects. This may involve an amendment to the original proposals. The analysis and negative impacts must then be balanced against the reasons for the proposals, that is to say the need for budget savings.</w:t>
      </w:r>
    </w:p>
    <w:p w:rsidR="00216070" w:rsidRPr="005A65D5" w:rsidRDefault="00216070" w:rsidP="004321DB">
      <w:pPr>
        <w:spacing w:after="0"/>
        <w:jc w:val="both"/>
        <w:rPr>
          <w:rFonts w:cs="Arial"/>
          <w:szCs w:val="24"/>
          <w:highlight w:val="green"/>
        </w:rPr>
      </w:pPr>
    </w:p>
    <w:p w:rsidR="005866C6" w:rsidRPr="005A65D5" w:rsidRDefault="00830CAF" w:rsidP="004321DB">
      <w:pPr>
        <w:spacing w:after="0"/>
        <w:jc w:val="both"/>
        <w:rPr>
          <w:rFonts w:cs="Arial"/>
          <w:szCs w:val="24"/>
        </w:rPr>
      </w:pPr>
      <w:r w:rsidRPr="005A65D5">
        <w:rPr>
          <w:rFonts w:cs="Arial"/>
          <w:szCs w:val="24"/>
        </w:rPr>
        <w:t xml:space="preserve">Where it has been determined that an Equality Analysis is required in respect of a savings option these have been provided with the presentation of the various proposals to </w:t>
      </w:r>
      <w:r w:rsidR="00E4206E" w:rsidRPr="005A65D5">
        <w:rPr>
          <w:rFonts w:cs="Arial"/>
          <w:szCs w:val="24"/>
        </w:rPr>
        <w:t>C</w:t>
      </w:r>
      <w:r w:rsidRPr="005A65D5">
        <w:rPr>
          <w:rFonts w:cs="Arial"/>
          <w:szCs w:val="24"/>
        </w:rPr>
        <w:t>abinet meetings.</w:t>
      </w:r>
    </w:p>
    <w:p w:rsidR="00CB36F8" w:rsidRDefault="00CB36F8" w:rsidP="004321DB">
      <w:pPr>
        <w:spacing w:after="0"/>
        <w:jc w:val="both"/>
        <w:rPr>
          <w:rFonts w:cs="Arial"/>
          <w:b/>
          <w:bCs/>
          <w:szCs w:val="24"/>
        </w:rPr>
      </w:pPr>
    </w:p>
    <w:p w:rsidR="00343217" w:rsidRPr="004321DB" w:rsidRDefault="004321DB" w:rsidP="004321DB">
      <w:pPr>
        <w:spacing w:after="0"/>
        <w:jc w:val="both"/>
        <w:rPr>
          <w:rFonts w:cs="Arial"/>
          <w:b/>
          <w:bCs/>
          <w:szCs w:val="24"/>
        </w:rPr>
      </w:pPr>
      <w:r>
        <w:rPr>
          <w:rFonts w:cs="Arial"/>
          <w:b/>
          <w:bCs/>
          <w:szCs w:val="24"/>
        </w:rPr>
        <w:t xml:space="preserve">11. </w:t>
      </w:r>
      <w:r w:rsidR="00343217" w:rsidRPr="004321DB">
        <w:rPr>
          <w:rFonts w:cs="Arial"/>
          <w:b/>
          <w:bCs/>
          <w:szCs w:val="24"/>
        </w:rPr>
        <w:t>The Robustness of the Budget and the Adequacy of Reserves</w:t>
      </w:r>
    </w:p>
    <w:p w:rsidR="00AF1CEB" w:rsidRPr="005A65D5" w:rsidRDefault="00AF1CEB" w:rsidP="004321DB">
      <w:pPr>
        <w:spacing w:after="0"/>
        <w:jc w:val="both"/>
        <w:rPr>
          <w:rFonts w:cs="Arial"/>
          <w:b/>
          <w:szCs w:val="24"/>
        </w:rPr>
      </w:pPr>
    </w:p>
    <w:p w:rsidR="00AF1CEB" w:rsidRPr="005A65D5" w:rsidRDefault="00AF1CEB" w:rsidP="004321DB">
      <w:pPr>
        <w:spacing w:after="0"/>
        <w:jc w:val="both"/>
        <w:rPr>
          <w:rFonts w:cs="Arial"/>
          <w:szCs w:val="24"/>
        </w:rPr>
      </w:pPr>
      <w:r w:rsidRPr="005A65D5">
        <w:rPr>
          <w:rFonts w:cs="Arial"/>
          <w:szCs w:val="24"/>
        </w:rPr>
        <w:t xml:space="preserve">Section 25 of the Local Government Act 2003 requires that in giving consideration to budget proposals members have regard to the advice of the Council's Chief Finance Officer (in the case of the County Council the Interim Director of Financial Resources) on the robustness of the estimates and the adequacy of the Council's reserves. </w:t>
      </w:r>
    </w:p>
    <w:p w:rsidR="00AF1CEB" w:rsidRPr="004321DB" w:rsidRDefault="004321DB" w:rsidP="004321DB">
      <w:pPr>
        <w:spacing w:after="0"/>
        <w:jc w:val="both"/>
        <w:rPr>
          <w:rFonts w:cs="Arial"/>
          <w:i/>
          <w:szCs w:val="24"/>
        </w:rPr>
      </w:pPr>
      <w:r>
        <w:rPr>
          <w:rFonts w:cs="Arial"/>
          <w:i/>
          <w:szCs w:val="24"/>
        </w:rPr>
        <w:lastRenderedPageBreak/>
        <w:t xml:space="preserve">11.1 </w:t>
      </w:r>
      <w:r w:rsidR="00AF1CEB" w:rsidRPr="004321DB">
        <w:rPr>
          <w:rFonts w:cs="Arial"/>
          <w:i/>
          <w:szCs w:val="24"/>
        </w:rPr>
        <w:t>Robustness of the Estimates</w:t>
      </w:r>
    </w:p>
    <w:p w:rsidR="00AF1CEB" w:rsidRPr="005A65D5" w:rsidRDefault="00AF1CEB" w:rsidP="004321DB">
      <w:pPr>
        <w:spacing w:after="0"/>
        <w:jc w:val="both"/>
        <w:rPr>
          <w:rFonts w:cs="Arial"/>
          <w:szCs w:val="24"/>
        </w:rPr>
      </w:pPr>
    </w:p>
    <w:p w:rsidR="00AF1CEB" w:rsidRPr="005A65D5" w:rsidRDefault="00AF1CEB" w:rsidP="004321DB">
      <w:pPr>
        <w:spacing w:after="0"/>
        <w:jc w:val="both"/>
        <w:rPr>
          <w:rFonts w:cs="Arial"/>
          <w:szCs w:val="24"/>
        </w:rPr>
      </w:pPr>
      <w:r w:rsidRPr="005A65D5">
        <w:rPr>
          <w:rFonts w:cs="Arial"/>
          <w:szCs w:val="24"/>
        </w:rPr>
        <w:t xml:space="preserve">This section is concerned with the scale of financial risks faced by the </w:t>
      </w:r>
      <w:r w:rsidR="00670AB0">
        <w:rPr>
          <w:rFonts w:cs="Arial"/>
          <w:szCs w:val="24"/>
        </w:rPr>
        <w:t xml:space="preserve">County </w:t>
      </w:r>
      <w:r w:rsidRPr="005A65D5">
        <w:rPr>
          <w:rFonts w:cs="Arial"/>
          <w:szCs w:val="24"/>
        </w:rPr>
        <w:t xml:space="preserve">Council as a result of the estimates and assumptions which support any budget. The basis of the estimates on which the budget has been prepared, as in previous years, relies on the forecast of activity and the impact of changes in policy previously agreed by the </w:t>
      </w:r>
      <w:r w:rsidR="00670AB0">
        <w:rPr>
          <w:rFonts w:cs="Arial"/>
          <w:szCs w:val="24"/>
        </w:rPr>
        <w:t xml:space="preserve">Full </w:t>
      </w:r>
      <w:r w:rsidRPr="005A65D5">
        <w:rPr>
          <w:rFonts w:cs="Arial"/>
          <w:szCs w:val="24"/>
        </w:rPr>
        <w:t>Council. These forecasts are kept under review as part of the budget monitoring process and actions identified to address financial risks arising from changes in the forecast as they occur. A number of specific risks remain within the budget as follows:</w:t>
      </w:r>
    </w:p>
    <w:p w:rsidR="00E22728" w:rsidRPr="005A65D5" w:rsidRDefault="00E22728" w:rsidP="004321DB">
      <w:pPr>
        <w:spacing w:after="0"/>
        <w:jc w:val="both"/>
        <w:rPr>
          <w:rFonts w:cs="Arial"/>
          <w:szCs w:val="24"/>
        </w:rPr>
      </w:pPr>
    </w:p>
    <w:p w:rsidR="00AF1CEB" w:rsidRDefault="004321DB" w:rsidP="004321DB">
      <w:pPr>
        <w:spacing w:after="0"/>
        <w:jc w:val="both"/>
        <w:rPr>
          <w:rFonts w:cs="Arial"/>
          <w:i/>
          <w:szCs w:val="24"/>
        </w:rPr>
      </w:pPr>
      <w:r>
        <w:rPr>
          <w:rFonts w:cs="Arial"/>
          <w:i/>
          <w:szCs w:val="24"/>
        </w:rPr>
        <w:t xml:space="preserve">11.1.1 </w:t>
      </w:r>
      <w:r w:rsidR="00AF1CEB" w:rsidRPr="004321DB">
        <w:rPr>
          <w:rFonts w:cs="Arial"/>
          <w:i/>
          <w:szCs w:val="24"/>
        </w:rPr>
        <w:t>Government Funding</w:t>
      </w:r>
    </w:p>
    <w:p w:rsidR="00670AB0" w:rsidRPr="00670AB0" w:rsidRDefault="00670AB0" w:rsidP="004321DB">
      <w:pPr>
        <w:spacing w:after="0"/>
        <w:jc w:val="both"/>
        <w:rPr>
          <w:rFonts w:cs="Arial"/>
          <w:szCs w:val="24"/>
        </w:rPr>
      </w:pPr>
    </w:p>
    <w:p w:rsidR="00C54EDA" w:rsidRDefault="00AF1CEB" w:rsidP="004321DB">
      <w:pPr>
        <w:spacing w:after="0"/>
        <w:jc w:val="both"/>
        <w:rPr>
          <w:rFonts w:cs="Arial"/>
          <w:szCs w:val="24"/>
        </w:rPr>
      </w:pPr>
      <w:r w:rsidRPr="005A65D5">
        <w:rPr>
          <w:rFonts w:cs="Arial"/>
          <w:szCs w:val="24"/>
        </w:rPr>
        <w:t xml:space="preserve">The </w:t>
      </w:r>
      <w:r w:rsidR="004D1948">
        <w:rPr>
          <w:rFonts w:cs="Arial"/>
          <w:szCs w:val="24"/>
        </w:rPr>
        <w:t xml:space="preserve">Provisional </w:t>
      </w:r>
      <w:r w:rsidRPr="005A65D5">
        <w:rPr>
          <w:rFonts w:cs="Arial"/>
          <w:szCs w:val="24"/>
        </w:rPr>
        <w:t xml:space="preserve">Local Government Settlement on 17th December </w:t>
      </w:r>
      <w:r w:rsidR="00670AB0">
        <w:rPr>
          <w:rFonts w:cs="Arial"/>
          <w:szCs w:val="24"/>
        </w:rPr>
        <w:t>2015 included the Government offer of a f</w:t>
      </w:r>
      <w:r w:rsidRPr="005A65D5">
        <w:rPr>
          <w:rFonts w:cs="Arial"/>
          <w:szCs w:val="24"/>
        </w:rPr>
        <w:t>our year funding settlement to provide greater certainty around financial planning</w:t>
      </w:r>
      <w:r w:rsidR="00670AB0">
        <w:rPr>
          <w:rFonts w:cs="Arial"/>
          <w:szCs w:val="24"/>
        </w:rPr>
        <w:t xml:space="preserve"> to any authority that wishes to take it</w:t>
      </w:r>
      <w:r w:rsidR="00C54EDA">
        <w:rPr>
          <w:rFonts w:cs="Arial"/>
          <w:szCs w:val="24"/>
        </w:rPr>
        <w:t>. The County Council has declined to take up the offer of a four year settlement.</w:t>
      </w:r>
    </w:p>
    <w:p w:rsidR="00C54EDA" w:rsidRDefault="00C54EDA" w:rsidP="004321DB">
      <w:pPr>
        <w:spacing w:after="0"/>
        <w:jc w:val="both"/>
        <w:rPr>
          <w:rFonts w:cs="Arial"/>
          <w:szCs w:val="24"/>
        </w:rPr>
      </w:pPr>
    </w:p>
    <w:p w:rsidR="00AF1CEB" w:rsidRPr="005A65D5" w:rsidRDefault="00C54EDA" w:rsidP="004321DB">
      <w:pPr>
        <w:spacing w:after="0"/>
        <w:jc w:val="both"/>
        <w:rPr>
          <w:rFonts w:cs="Arial"/>
          <w:szCs w:val="24"/>
        </w:rPr>
      </w:pPr>
      <w:r>
        <w:rPr>
          <w:rFonts w:cs="Arial"/>
          <w:szCs w:val="24"/>
        </w:rPr>
        <w:t>The settlement</w:t>
      </w:r>
      <w:r w:rsidR="00AF1CEB" w:rsidRPr="005A65D5">
        <w:rPr>
          <w:rFonts w:cs="Arial"/>
          <w:szCs w:val="24"/>
        </w:rPr>
        <w:t xml:space="preserve"> reflects a significantly worsening position with greater reliance on locally raised funding</w:t>
      </w:r>
      <w:r>
        <w:rPr>
          <w:rFonts w:cs="Arial"/>
          <w:szCs w:val="24"/>
        </w:rPr>
        <w:t xml:space="preserve">. There is </w:t>
      </w:r>
      <w:r w:rsidR="00AF1CEB" w:rsidRPr="005A65D5">
        <w:rPr>
          <w:rFonts w:cs="Arial"/>
          <w:szCs w:val="24"/>
        </w:rPr>
        <w:t>still the possibility of further reductions in future years should, for example, new responsibilities be given to councils which are not fully funded.  Previous reports to Cabinet have clearly identified an impending scenario whereby the County Council will have insufficient resources to meet statutory responsibilities as they are currently provided.  It has been recognised previously that the County Council will need to quickly assess and make fundamental changes to the current business model to deliver further savings given the significant funding gap that remains.</w:t>
      </w:r>
    </w:p>
    <w:p w:rsidR="00AF1CEB" w:rsidRPr="005A65D5" w:rsidRDefault="00AF1CEB" w:rsidP="004321DB">
      <w:pPr>
        <w:spacing w:after="0"/>
        <w:jc w:val="both"/>
        <w:rPr>
          <w:rFonts w:cs="Arial"/>
          <w:szCs w:val="24"/>
        </w:rPr>
      </w:pPr>
    </w:p>
    <w:p w:rsidR="00AF1CEB" w:rsidRDefault="00AF1CEB" w:rsidP="004321DB">
      <w:pPr>
        <w:spacing w:after="0"/>
        <w:jc w:val="both"/>
        <w:rPr>
          <w:rFonts w:cs="Arial"/>
          <w:szCs w:val="24"/>
        </w:rPr>
      </w:pPr>
      <w:r w:rsidRPr="005A65D5">
        <w:rPr>
          <w:rFonts w:cs="Arial"/>
          <w:szCs w:val="24"/>
        </w:rPr>
        <w:t>There is no guarantee that the changes to the business model, which will need to be focused on reducing costs, will be sufficient to deliver balanced budgets over the period of this financial strategy</w:t>
      </w:r>
      <w:r w:rsidR="00C54EDA">
        <w:rPr>
          <w:rFonts w:cs="Arial"/>
          <w:szCs w:val="24"/>
        </w:rPr>
        <w:t>. Th</w:t>
      </w:r>
      <w:r w:rsidRPr="005A65D5">
        <w:rPr>
          <w:rFonts w:cs="Arial"/>
          <w:szCs w:val="24"/>
        </w:rPr>
        <w:t>erefore the County Council will need to continuously lobby Central Government and relevant stakeholders regarding the extreme challenges being faced as a result of the local government finance system.</w:t>
      </w:r>
    </w:p>
    <w:p w:rsidR="004D1948" w:rsidRDefault="004D1948" w:rsidP="004321DB">
      <w:pPr>
        <w:spacing w:after="0"/>
        <w:jc w:val="both"/>
        <w:rPr>
          <w:rFonts w:cs="Arial"/>
          <w:szCs w:val="24"/>
        </w:rPr>
      </w:pPr>
    </w:p>
    <w:p w:rsidR="00CA73CC" w:rsidRDefault="0031170D" w:rsidP="004321DB">
      <w:pPr>
        <w:spacing w:after="0"/>
        <w:jc w:val="both"/>
        <w:rPr>
          <w:rFonts w:cs="Arial"/>
          <w:szCs w:val="24"/>
        </w:rPr>
      </w:pPr>
      <w:r>
        <w:rPr>
          <w:rFonts w:cs="Arial"/>
          <w:szCs w:val="24"/>
        </w:rPr>
        <w:t>There are future changes to the funding of local government being proposed by the Government. Details of the proposals are not yet known but there is a</w:t>
      </w:r>
      <w:r w:rsidR="00CA73CC">
        <w:rPr>
          <w:rFonts w:cs="Arial"/>
          <w:szCs w:val="24"/>
        </w:rPr>
        <w:t xml:space="preserve"> risk of</w:t>
      </w:r>
      <w:r>
        <w:rPr>
          <w:rFonts w:cs="Arial"/>
          <w:szCs w:val="24"/>
        </w:rPr>
        <w:t xml:space="preserve"> potential </w:t>
      </w:r>
      <w:r w:rsidR="00CA73CC">
        <w:rPr>
          <w:rFonts w:cs="Arial"/>
          <w:szCs w:val="24"/>
        </w:rPr>
        <w:t>volatility in resources which may impact on the required level of reserves.</w:t>
      </w:r>
    </w:p>
    <w:p w:rsidR="00CA73CC" w:rsidRDefault="00CA73CC" w:rsidP="004321DB">
      <w:pPr>
        <w:spacing w:after="0"/>
        <w:jc w:val="both"/>
        <w:rPr>
          <w:rFonts w:cs="Arial"/>
          <w:szCs w:val="24"/>
        </w:rPr>
      </w:pPr>
    </w:p>
    <w:p w:rsidR="00AF1CEB" w:rsidRDefault="004321DB" w:rsidP="004321DB">
      <w:pPr>
        <w:spacing w:after="0"/>
        <w:jc w:val="both"/>
        <w:rPr>
          <w:rFonts w:cs="Arial"/>
          <w:i/>
          <w:szCs w:val="24"/>
        </w:rPr>
      </w:pPr>
      <w:r>
        <w:rPr>
          <w:rFonts w:cs="Arial"/>
          <w:i/>
          <w:szCs w:val="24"/>
        </w:rPr>
        <w:t xml:space="preserve">11.1.2 </w:t>
      </w:r>
      <w:r w:rsidR="00AF1CEB" w:rsidRPr="004321DB">
        <w:rPr>
          <w:rFonts w:cs="Arial"/>
          <w:i/>
          <w:szCs w:val="24"/>
        </w:rPr>
        <w:t>Service Demand</w:t>
      </w:r>
    </w:p>
    <w:p w:rsidR="004321DB" w:rsidRPr="004321DB" w:rsidRDefault="004321DB" w:rsidP="004321DB">
      <w:pPr>
        <w:spacing w:after="0"/>
        <w:jc w:val="both"/>
        <w:rPr>
          <w:rFonts w:cs="Arial"/>
          <w:i/>
          <w:szCs w:val="24"/>
        </w:rPr>
      </w:pPr>
    </w:p>
    <w:p w:rsidR="00AF1CEB" w:rsidRPr="005A65D5" w:rsidRDefault="00AF1CEB" w:rsidP="004321DB">
      <w:pPr>
        <w:spacing w:after="0"/>
        <w:jc w:val="both"/>
        <w:rPr>
          <w:rFonts w:cs="Arial"/>
          <w:szCs w:val="24"/>
        </w:rPr>
      </w:pPr>
      <w:r w:rsidRPr="005A65D5">
        <w:rPr>
          <w:rFonts w:cs="Arial"/>
          <w:szCs w:val="24"/>
        </w:rPr>
        <w:t xml:space="preserve">This is a key risk facing the </w:t>
      </w:r>
      <w:r w:rsidR="00670AB0">
        <w:rPr>
          <w:rFonts w:cs="Arial"/>
          <w:szCs w:val="24"/>
        </w:rPr>
        <w:t xml:space="preserve">County </w:t>
      </w:r>
      <w:r w:rsidRPr="005A65D5">
        <w:rPr>
          <w:rFonts w:cs="Arial"/>
          <w:szCs w:val="24"/>
        </w:rPr>
        <w:t xml:space="preserve">Council in both preparing future budgets and managing budgets during the year. As reported in the budget monitoring reports presented to Cabinet over the year, demand for both adult and children's social care services continues to see increases despite the impact of demand management measures.  </w:t>
      </w:r>
    </w:p>
    <w:p w:rsidR="00AF1CEB" w:rsidRPr="005A65D5" w:rsidRDefault="00AF1CEB" w:rsidP="004321DB">
      <w:pPr>
        <w:spacing w:after="0"/>
        <w:jc w:val="both"/>
        <w:rPr>
          <w:rFonts w:cs="Arial"/>
          <w:szCs w:val="24"/>
        </w:rPr>
      </w:pPr>
    </w:p>
    <w:p w:rsidR="00C54EDA" w:rsidRDefault="001656A0" w:rsidP="004321DB">
      <w:pPr>
        <w:spacing w:after="0"/>
        <w:jc w:val="both"/>
        <w:rPr>
          <w:rFonts w:cs="Arial"/>
          <w:szCs w:val="24"/>
        </w:rPr>
      </w:pPr>
      <w:r>
        <w:rPr>
          <w:rFonts w:cs="Arial"/>
          <w:szCs w:val="24"/>
        </w:rPr>
        <w:t>Over the period 2016/17</w:t>
      </w:r>
      <w:r w:rsidR="00AF1CEB" w:rsidRPr="005A65D5">
        <w:rPr>
          <w:rFonts w:cs="Arial"/>
          <w:szCs w:val="24"/>
        </w:rPr>
        <w:t xml:space="preserve"> to 2020/21</w:t>
      </w:r>
      <w:r w:rsidR="00670AB0">
        <w:rPr>
          <w:rFonts w:cs="Arial"/>
          <w:szCs w:val="24"/>
        </w:rPr>
        <w:t xml:space="preserve">, </w:t>
      </w:r>
      <w:r w:rsidR="00AF1CEB" w:rsidRPr="005A65D5">
        <w:rPr>
          <w:rFonts w:cs="Arial"/>
          <w:szCs w:val="24"/>
        </w:rPr>
        <w:t>£97.4m has been provided</w:t>
      </w:r>
      <w:r w:rsidR="00670AB0">
        <w:rPr>
          <w:rFonts w:cs="Arial"/>
          <w:szCs w:val="24"/>
        </w:rPr>
        <w:t xml:space="preserve"> for </w:t>
      </w:r>
      <w:r w:rsidR="007521A0">
        <w:rPr>
          <w:rFonts w:cs="Arial"/>
          <w:szCs w:val="24"/>
        </w:rPr>
        <w:t>demand pressures of which approximately</w:t>
      </w:r>
      <w:r w:rsidR="00670AB0">
        <w:rPr>
          <w:rFonts w:cs="Arial"/>
          <w:szCs w:val="24"/>
        </w:rPr>
        <w:t xml:space="preserve"> </w:t>
      </w:r>
      <w:r w:rsidR="00AF1CEB" w:rsidRPr="005A65D5">
        <w:rPr>
          <w:rFonts w:cs="Arial"/>
          <w:szCs w:val="24"/>
        </w:rPr>
        <w:t>70% re</w:t>
      </w:r>
      <w:r w:rsidR="00C54EDA">
        <w:rPr>
          <w:rFonts w:cs="Arial"/>
          <w:szCs w:val="24"/>
        </w:rPr>
        <w:t xml:space="preserve">lates to adult social care and </w:t>
      </w:r>
      <w:r w:rsidR="007521A0">
        <w:rPr>
          <w:rFonts w:cs="Arial"/>
          <w:szCs w:val="24"/>
        </w:rPr>
        <w:t>approximately</w:t>
      </w:r>
      <w:r w:rsidR="00670AB0">
        <w:rPr>
          <w:rFonts w:cs="Arial"/>
          <w:szCs w:val="24"/>
        </w:rPr>
        <w:t xml:space="preserve"> 1</w:t>
      </w:r>
      <w:r w:rsidR="00AF1CEB" w:rsidRPr="005A65D5">
        <w:rPr>
          <w:rFonts w:cs="Arial"/>
          <w:szCs w:val="24"/>
        </w:rPr>
        <w:t xml:space="preserve">4% </w:t>
      </w:r>
      <w:r w:rsidR="00C54EDA">
        <w:rPr>
          <w:rFonts w:cs="Arial"/>
          <w:szCs w:val="24"/>
        </w:rPr>
        <w:t xml:space="preserve">to </w:t>
      </w:r>
      <w:r w:rsidR="00AF1CEB" w:rsidRPr="005A65D5">
        <w:rPr>
          <w:rFonts w:cs="Arial"/>
          <w:szCs w:val="24"/>
        </w:rPr>
        <w:t xml:space="preserve">children's social </w:t>
      </w:r>
      <w:r>
        <w:rPr>
          <w:rFonts w:cs="Arial"/>
          <w:szCs w:val="24"/>
        </w:rPr>
        <w:t xml:space="preserve">care. </w:t>
      </w:r>
      <w:r w:rsidR="00C54EDA">
        <w:rPr>
          <w:rFonts w:cs="Arial"/>
          <w:szCs w:val="24"/>
        </w:rPr>
        <w:t>This has been</w:t>
      </w:r>
      <w:r w:rsidR="00AF1CEB" w:rsidRPr="005A65D5">
        <w:rPr>
          <w:rFonts w:cs="Arial"/>
          <w:szCs w:val="24"/>
        </w:rPr>
        <w:t xml:space="preserve"> based on current and historical trends and population projections (particularly linked to the ageing</w:t>
      </w:r>
      <w:r w:rsidR="00C54EDA">
        <w:rPr>
          <w:rFonts w:cs="Arial"/>
          <w:szCs w:val="24"/>
        </w:rPr>
        <w:t xml:space="preserve"> population)</w:t>
      </w:r>
      <w:r w:rsidR="00AF1CEB" w:rsidRPr="005A65D5">
        <w:rPr>
          <w:rFonts w:cs="Arial"/>
          <w:szCs w:val="24"/>
        </w:rPr>
        <w:t xml:space="preserve">. </w:t>
      </w:r>
    </w:p>
    <w:p w:rsidR="00C54EDA" w:rsidRDefault="00C54EDA" w:rsidP="004321DB">
      <w:pPr>
        <w:spacing w:after="0"/>
        <w:jc w:val="both"/>
        <w:rPr>
          <w:rFonts w:cs="Arial"/>
          <w:szCs w:val="24"/>
        </w:rPr>
      </w:pPr>
    </w:p>
    <w:p w:rsidR="00AF1CEB" w:rsidRDefault="00C54EDA" w:rsidP="004321DB">
      <w:pPr>
        <w:spacing w:after="0"/>
        <w:jc w:val="both"/>
        <w:rPr>
          <w:rFonts w:cs="Arial"/>
          <w:szCs w:val="24"/>
        </w:rPr>
      </w:pPr>
      <w:r>
        <w:rPr>
          <w:rFonts w:cs="Arial"/>
          <w:szCs w:val="24"/>
        </w:rPr>
        <w:t xml:space="preserve">There are further risks that could impact on demand. </w:t>
      </w:r>
      <w:r w:rsidR="00AF1CEB" w:rsidRPr="005A65D5">
        <w:rPr>
          <w:rFonts w:cs="Arial"/>
          <w:szCs w:val="24"/>
        </w:rPr>
        <w:t xml:space="preserve">These include the developing relationship with the NHS </w:t>
      </w:r>
      <w:r w:rsidR="00670AB0">
        <w:rPr>
          <w:rFonts w:cs="Arial"/>
          <w:szCs w:val="24"/>
        </w:rPr>
        <w:t>(</w:t>
      </w:r>
      <w:r w:rsidR="00AF1CEB" w:rsidRPr="005A65D5">
        <w:rPr>
          <w:rFonts w:cs="Arial"/>
          <w:szCs w:val="24"/>
        </w:rPr>
        <w:t>including the impact of the Better Care Fund</w:t>
      </w:r>
      <w:r w:rsidR="00670AB0">
        <w:rPr>
          <w:rFonts w:cs="Arial"/>
          <w:szCs w:val="24"/>
        </w:rPr>
        <w:t>) and</w:t>
      </w:r>
      <w:r w:rsidR="00AF1CEB" w:rsidRPr="005A65D5">
        <w:rPr>
          <w:rFonts w:cs="Arial"/>
          <w:szCs w:val="24"/>
        </w:rPr>
        <w:t xml:space="preserve"> the interaction between increasingly tightening health and local authority resources. While reasonable steps have been taken to estimate future demand and ongoing work is being undertaken with health colleagues</w:t>
      </w:r>
      <w:r w:rsidR="00670AB0">
        <w:rPr>
          <w:rFonts w:cs="Arial"/>
          <w:szCs w:val="24"/>
        </w:rPr>
        <w:t>,</w:t>
      </w:r>
      <w:r w:rsidR="00AF1CEB" w:rsidRPr="005A65D5">
        <w:rPr>
          <w:rFonts w:cs="Arial"/>
          <w:szCs w:val="24"/>
        </w:rPr>
        <w:t xml:space="preserve"> it is still possible</w:t>
      </w:r>
      <w:r w:rsidR="00670AB0">
        <w:rPr>
          <w:rFonts w:cs="Arial"/>
          <w:szCs w:val="24"/>
        </w:rPr>
        <w:t xml:space="preserve"> that demand will exceed budget. A</w:t>
      </w:r>
      <w:r w:rsidR="00AF1CEB" w:rsidRPr="005A65D5">
        <w:rPr>
          <w:rFonts w:cs="Arial"/>
          <w:szCs w:val="24"/>
        </w:rPr>
        <w:t xml:space="preserve">lthough the Council does have a good record </w:t>
      </w:r>
      <w:r w:rsidR="00670AB0">
        <w:rPr>
          <w:rFonts w:cs="Arial"/>
          <w:szCs w:val="24"/>
        </w:rPr>
        <w:t xml:space="preserve">of managing demand pressures, </w:t>
      </w:r>
      <w:r w:rsidR="00AF1CEB" w:rsidRPr="005A65D5">
        <w:rPr>
          <w:rFonts w:cs="Arial"/>
          <w:szCs w:val="24"/>
        </w:rPr>
        <w:t>the flexibility in other parts of the budget which has a</w:t>
      </w:r>
      <w:r>
        <w:rPr>
          <w:rFonts w:cs="Arial"/>
          <w:szCs w:val="24"/>
        </w:rPr>
        <w:t xml:space="preserve">ssisted with this has been </w:t>
      </w:r>
      <w:r w:rsidR="00AF1CEB" w:rsidRPr="005A65D5">
        <w:rPr>
          <w:rFonts w:cs="Arial"/>
          <w:szCs w:val="24"/>
        </w:rPr>
        <w:t xml:space="preserve">significantly eroded in recent years following the delivery of the </w:t>
      </w:r>
      <w:r w:rsidR="00670AB0">
        <w:rPr>
          <w:rFonts w:cs="Arial"/>
          <w:szCs w:val="24"/>
        </w:rPr>
        <w:t>previous savings.</w:t>
      </w:r>
    </w:p>
    <w:p w:rsidR="00670AB0" w:rsidRPr="005A65D5" w:rsidRDefault="00670AB0" w:rsidP="004321DB">
      <w:pPr>
        <w:spacing w:after="0"/>
        <w:jc w:val="both"/>
        <w:rPr>
          <w:rFonts w:cs="Arial"/>
          <w:szCs w:val="24"/>
        </w:rPr>
      </w:pPr>
    </w:p>
    <w:p w:rsidR="00AF1CEB" w:rsidRPr="005A65D5" w:rsidRDefault="00AF1CEB" w:rsidP="004321DB">
      <w:pPr>
        <w:spacing w:after="0"/>
        <w:jc w:val="both"/>
        <w:rPr>
          <w:rFonts w:cs="Arial"/>
          <w:szCs w:val="24"/>
        </w:rPr>
      </w:pPr>
      <w:r w:rsidRPr="005A65D5">
        <w:rPr>
          <w:rFonts w:cs="Arial"/>
          <w:szCs w:val="24"/>
        </w:rPr>
        <w:t>The pressure resulting from the increasing numbers and complexity of Learning Disability service users, increased dem</w:t>
      </w:r>
      <w:r w:rsidR="00670AB0">
        <w:rPr>
          <w:rFonts w:cs="Arial"/>
          <w:szCs w:val="24"/>
        </w:rPr>
        <w:t>and for direct payments within P</w:t>
      </w:r>
      <w:r w:rsidRPr="005A65D5">
        <w:rPr>
          <w:rFonts w:cs="Arial"/>
          <w:szCs w:val="24"/>
        </w:rPr>
        <w:t xml:space="preserve">hysical </w:t>
      </w:r>
      <w:r w:rsidR="00670AB0">
        <w:rPr>
          <w:rFonts w:cs="Arial"/>
          <w:szCs w:val="24"/>
        </w:rPr>
        <w:t>D</w:t>
      </w:r>
      <w:r w:rsidRPr="005A65D5">
        <w:rPr>
          <w:rFonts w:cs="Arial"/>
          <w:szCs w:val="24"/>
        </w:rPr>
        <w:t>isability services and increased demand for residential care within Mental Health Services continue to be significant issues.  This is potentially exacerbated by the Transforming Care (Winterbourne) agenda should there be significant additional costs of moving anyone who is inappropriately in hospital to community-based support.</w:t>
      </w:r>
    </w:p>
    <w:p w:rsidR="00AF1CEB" w:rsidRPr="005A65D5" w:rsidRDefault="00AF1CEB" w:rsidP="004321DB">
      <w:pPr>
        <w:spacing w:after="0"/>
        <w:jc w:val="both"/>
        <w:rPr>
          <w:rFonts w:cs="Arial"/>
          <w:szCs w:val="24"/>
        </w:rPr>
      </w:pPr>
    </w:p>
    <w:p w:rsidR="00AF1CEB" w:rsidRDefault="00522DAB" w:rsidP="004321DB">
      <w:pPr>
        <w:spacing w:after="0"/>
        <w:jc w:val="both"/>
        <w:rPr>
          <w:rFonts w:cs="Arial"/>
          <w:i/>
          <w:szCs w:val="24"/>
        </w:rPr>
      </w:pPr>
      <w:r w:rsidRPr="00522DAB">
        <w:rPr>
          <w:rFonts w:cs="Arial"/>
          <w:i/>
          <w:szCs w:val="24"/>
        </w:rPr>
        <w:t xml:space="preserve">11.1.3 </w:t>
      </w:r>
      <w:r w:rsidR="00AF1CEB" w:rsidRPr="00522DAB">
        <w:rPr>
          <w:rFonts w:cs="Arial"/>
          <w:i/>
          <w:szCs w:val="24"/>
        </w:rPr>
        <w:t>Pay Costs</w:t>
      </w:r>
    </w:p>
    <w:p w:rsidR="00522DAB" w:rsidRPr="00522DAB" w:rsidRDefault="00522DAB" w:rsidP="004321DB">
      <w:pPr>
        <w:spacing w:after="0"/>
        <w:jc w:val="both"/>
        <w:rPr>
          <w:rFonts w:cs="Arial"/>
          <w:i/>
          <w:szCs w:val="24"/>
        </w:rPr>
      </w:pPr>
    </w:p>
    <w:p w:rsidR="007521A0" w:rsidRDefault="00AF1CEB" w:rsidP="00CB36F8">
      <w:pPr>
        <w:spacing w:after="0"/>
        <w:jc w:val="both"/>
        <w:rPr>
          <w:rFonts w:cs="Arial"/>
          <w:szCs w:val="24"/>
        </w:rPr>
      </w:pPr>
      <w:r w:rsidRPr="005A65D5">
        <w:rPr>
          <w:rFonts w:cs="Arial"/>
          <w:szCs w:val="24"/>
        </w:rPr>
        <w:t xml:space="preserve">The MTFS makes provision for pay of a 1% increase </w:t>
      </w:r>
      <w:r w:rsidR="001656A0">
        <w:rPr>
          <w:rFonts w:cs="Arial"/>
          <w:szCs w:val="24"/>
        </w:rPr>
        <w:t xml:space="preserve">each year. </w:t>
      </w:r>
      <w:r w:rsidR="007521A0">
        <w:rPr>
          <w:rFonts w:cs="Arial"/>
          <w:szCs w:val="24"/>
        </w:rPr>
        <w:t>Overall salary costs</w:t>
      </w:r>
      <w:r w:rsidRPr="005A65D5">
        <w:rPr>
          <w:rFonts w:cs="Arial"/>
          <w:szCs w:val="24"/>
        </w:rPr>
        <w:t xml:space="preserve"> will continue to be driven by the national pay agreement and this assumption will be kept under </w:t>
      </w:r>
      <w:r w:rsidR="007521A0">
        <w:rPr>
          <w:rFonts w:cs="Arial"/>
          <w:szCs w:val="24"/>
        </w:rPr>
        <w:t>review.</w:t>
      </w:r>
    </w:p>
    <w:p w:rsidR="007521A0" w:rsidRDefault="007521A0" w:rsidP="00CB36F8">
      <w:pPr>
        <w:spacing w:after="0"/>
        <w:jc w:val="both"/>
        <w:rPr>
          <w:rFonts w:cs="Arial"/>
          <w:szCs w:val="24"/>
        </w:rPr>
      </w:pPr>
    </w:p>
    <w:p w:rsidR="005347EA" w:rsidRDefault="00AF1CEB" w:rsidP="00CB36F8">
      <w:pPr>
        <w:spacing w:after="0"/>
        <w:jc w:val="both"/>
        <w:rPr>
          <w:rFonts w:cs="Arial"/>
          <w:szCs w:val="24"/>
        </w:rPr>
      </w:pPr>
      <w:r w:rsidRPr="005A65D5">
        <w:rPr>
          <w:rFonts w:cs="Arial"/>
          <w:szCs w:val="24"/>
        </w:rPr>
        <w:t>The County Council is committed to paying its employees as an accredited member of the Living Wage Foundation</w:t>
      </w:r>
      <w:r w:rsidR="007521A0">
        <w:rPr>
          <w:rFonts w:cs="Arial"/>
          <w:szCs w:val="24"/>
        </w:rPr>
        <w:t xml:space="preserve"> (LWF). The LWF </w:t>
      </w:r>
      <w:r w:rsidRPr="005A65D5">
        <w:rPr>
          <w:rFonts w:cs="Arial"/>
          <w:szCs w:val="24"/>
        </w:rPr>
        <w:t>have announced a 5% increase in the Living Wage</w:t>
      </w:r>
      <w:r w:rsidR="007521A0">
        <w:rPr>
          <w:rFonts w:cs="Arial"/>
          <w:szCs w:val="24"/>
        </w:rPr>
        <w:t xml:space="preserve">. This is significantly higher than the 1% assumed for all other staff. </w:t>
      </w:r>
      <w:r w:rsidRPr="005A65D5">
        <w:rPr>
          <w:rFonts w:cs="Arial"/>
          <w:szCs w:val="24"/>
        </w:rPr>
        <w:t xml:space="preserve">The impact of this initial increase and further 5% increases in subsequent years has been factored into the MTFS.  </w:t>
      </w:r>
      <w:r w:rsidR="007521A0">
        <w:rPr>
          <w:rFonts w:cs="Arial"/>
          <w:szCs w:val="24"/>
        </w:rPr>
        <w:t>However, t</w:t>
      </w:r>
      <w:r w:rsidRPr="005A65D5">
        <w:rPr>
          <w:rFonts w:cs="Arial"/>
          <w:szCs w:val="24"/>
        </w:rPr>
        <w:t xml:space="preserve">his does not address maintaining current </w:t>
      </w:r>
      <w:r w:rsidR="007521A0">
        <w:rPr>
          <w:rFonts w:cs="Arial"/>
          <w:szCs w:val="24"/>
        </w:rPr>
        <w:t xml:space="preserve">pay </w:t>
      </w:r>
      <w:r w:rsidRPr="005A65D5">
        <w:rPr>
          <w:rFonts w:cs="Arial"/>
          <w:szCs w:val="24"/>
        </w:rPr>
        <w:t xml:space="preserve">differentials </w:t>
      </w:r>
      <w:r w:rsidR="007521A0">
        <w:rPr>
          <w:rFonts w:cs="Arial"/>
          <w:szCs w:val="24"/>
        </w:rPr>
        <w:t>between grades</w:t>
      </w:r>
      <w:r w:rsidR="00CB36F8">
        <w:rPr>
          <w:rFonts w:cs="Arial"/>
          <w:szCs w:val="24"/>
        </w:rPr>
        <w:t>.</w:t>
      </w:r>
      <w:r w:rsidR="007521A0">
        <w:rPr>
          <w:rFonts w:cs="Arial"/>
          <w:szCs w:val="24"/>
        </w:rPr>
        <w:t xml:space="preserve"> This will have to be addressed in future years as more grades are absorbed into the Living Wage threshold. This poses an additional risk to financial resources.</w:t>
      </w:r>
    </w:p>
    <w:p w:rsidR="00CB36F8" w:rsidRDefault="00CB36F8" w:rsidP="00CB36F8">
      <w:pPr>
        <w:spacing w:after="0"/>
        <w:jc w:val="both"/>
        <w:rPr>
          <w:rFonts w:cs="Arial"/>
          <w:i/>
          <w:szCs w:val="24"/>
        </w:rPr>
      </w:pPr>
    </w:p>
    <w:p w:rsidR="00AF1CEB" w:rsidRDefault="00522DAB" w:rsidP="004321DB">
      <w:pPr>
        <w:spacing w:after="0"/>
        <w:jc w:val="both"/>
        <w:rPr>
          <w:rFonts w:cs="Arial"/>
          <w:i/>
          <w:szCs w:val="24"/>
        </w:rPr>
      </w:pPr>
      <w:r w:rsidRPr="00522DAB">
        <w:rPr>
          <w:rFonts w:cs="Arial"/>
          <w:i/>
          <w:szCs w:val="24"/>
        </w:rPr>
        <w:t xml:space="preserve">11.1.4 </w:t>
      </w:r>
      <w:r w:rsidR="00AF1CEB" w:rsidRPr="00522DAB">
        <w:rPr>
          <w:rFonts w:cs="Arial"/>
          <w:i/>
          <w:szCs w:val="24"/>
        </w:rPr>
        <w:t>Inflation</w:t>
      </w:r>
    </w:p>
    <w:p w:rsidR="00522DAB" w:rsidRPr="00522DAB" w:rsidRDefault="00522DAB" w:rsidP="004321DB">
      <w:pPr>
        <w:spacing w:after="0"/>
        <w:jc w:val="both"/>
        <w:rPr>
          <w:rFonts w:cs="Arial"/>
          <w:i/>
          <w:szCs w:val="24"/>
        </w:rPr>
      </w:pPr>
    </w:p>
    <w:p w:rsidR="00AF1CEB" w:rsidRPr="005A65D5" w:rsidRDefault="00AF1CEB" w:rsidP="004321DB">
      <w:pPr>
        <w:spacing w:after="0"/>
        <w:jc w:val="both"/>
        <w:rPr>
          <w:rFonts w:cs="Arial"/>
          <w:szCs w:val="24"/>
        </w:rPr>
      </w:pPr>
      <w:r w:rsidRPr="005A65D5">
        <w:rPr>
          <w:rFonts w:cs="Arial"/>
          <w:szCs w:val="24"/>
        </w:rPr>
        <w:t xml:space="preserve">Actual inflation remains relatively low but analysts are anticipating slight increases over coming years. Provision made within the budget is limited to areas where the </w:t>
      </w:r>
      <w:r w:rsidR="00670AB0">
        <w:rPr>
          <w:rFonts w:cs="Arial"/>
          <w:szCs w:val="24"/>
        </w:rPr>
        <w:t xml:space="preserve">County </w:t>
      </w:r>
      <w:r w:rsidRPr="005A65D5">
        <w:rPr>
          <w:rFonts w:cs="Arial"/>
          <w:szCs w:val="24"/>
        </w:rPr>
        <w:t>Council has no choice b</w:t>
      </w:r>
      <w:r w:rsidR="00670AB0">
        <w:rPr>
          <w:rFonts w:cs="Arial"/>
          <w:szCs w:val="24"/>
        </w:rPr>
        <w:t>ut to pay increased prices, for ex</w:t>
      </w:r>
      <w:r w:rsidR="00073C24">
        <w:rPr>
          <w:rFonts w:cs="Arial"/>
          <w:szCs w:val="24"/>
        </w:rPr>
        <w:t>ample</w:t>
      </w:r>
      <w:r w:rsidR="00670AB0">
        <w:rPr>
          <w:rFonts w:cs="Arial"/>
          <w:szCs w:val="24"/>
        </w:rPr>
        <w:t xml:space="preserve"> </w:t>
      </w:r>
      <w:r w:rsidRPr="005A65D5">
        <w:rPr>
          <w:rFonts w:cs="Arial"/>
          <w:szCs w:val="24"/>
        </w:rPr>
        <w:t xml:space="preserve">due to contractual terms. The inflation forecasts used in recent years are based on the future level of inflation implied by yields on interest linked gilts. Historically, this has tended </w:t>
      </w:r>
      <w:r w:rsidRPr="005A65D5">
        <w:rPr>
          <w:rFonts w:cs="Arial"/>
          <w:szCs w:val="24"/>
        </w:rPr>
        <w:lastRenderedPageBreak/>
        <w:t>to gi</w:t>
      </w:r>
      <w:r w:rsidR="00670AB0">
        <w:rPr>
          <w:rFonts w:cs="Arial"/>
          <w:szCs w:val="24"/>
        </w:rPr>
        <w:t>ve a more accurate forecast</w:t>
      </w:r>
      <w:r w:rsidRPr="005A65D5">
        <w:rPr>
          <w:rFonts w:cs="Arial"/>
          <w:szCs w:val="24"/>
        </w:rPr>
        <w:t>. It is anticipated that the continued use of this methodology will reduce the risk of needing to make catch up additions to the budget for "missed" inflation and the need to absorb additional inflationary costs in year.</w:t>
      </w:r>
    </w:p>
    <w:p w:rsidR="00AF1CEB" w:rsidRPr="005A65D5" w:rsidRDefault="00AF1CEB" w:rsidP="004321DB">
      <w:pPr>
        <w:spacing w:after="0"/>
        <w:jc w:val="both"/>
        <w:rPr>
          <w:rFonts w:cs="Arial"/>
          <w:szCs w:val="24"/>
        </w:rPr>
      </w:pPr>
    </w:p>
    <w:p w:rsidR="00AF1CEB" w:rsidRPr="005A65D5" w:rsidRDefault="00073C24" w:rsidP="004321DB">
      <w:pPr>
        <w:spacing w:after="0"/>
        <w:jc w:val="both"/>
        <w:rPr>
          <w:rFonts w:cs="Arial"/>
          <w:szCs w:val="24"/>
        </w:rPr>
      </w:pPr>
      <w:r>
        <w:rPr>
          <w:rFonts w:cs="Arial"/>
          <w:szCs w:val="24"/>
        </w:rPr>
        <w:t>There is particular concern regarding</w:t>
      </w:r>
      <w:r w:rsidR="00670AB0">
        <w:rPr>
          <w:rFonts w:cs="Arial"/>
          <w:szCs w:val="24"/>
        </w:rPr>
        <w:t xml:space="preserve"> care markets, both </w:t>
      </w:r>
      <w:r w:rsidR="00AF1CEB" w:rsidRPr="005A65D5">
        <w:rPr>
          <w:rFonts w:cs="Arial"/>
          <w:szCs w:val="24"/>
        </w:rPr>
        <w:t xml:space="preserve">residential and </w:t>
      </w:r>
      <w:r>
        <w:rPr>
          <w:rFonts w:cs="Arial"/>
          <w:szCs w:val="24"/>
        </w:rPr>
        <w:t xml:space="preserve">homecare. </w:t>
      </w:r>
      <w:r w:rsidR="00AF1CEB" w:rsidRPr="005A65D5">
        <w:rPr>
          <w:rFonts w:cs="Arial"/>
          <w:szCs w:val="24"/>
        </w:rPr>
        <w:t xml:space="preserve"> </w:t>
      </w:r>
      <w:r>
        <w:rPr>
          <w:rFonts w:cs="Arial"/>
          <w:szCs w:val="24"/>
        </w:rPr>
        <w:t>Care</w:t>
      </w:r>
      <w:r w:rsidR="00AF1CEB" w:rsidRPr="005A65D5">
        <w:rPr>
          <w:rFonts w:cs="Arial"/>
          <w:szCs w:val="24"/>
        </w:rPr>
        <w:t xml:space="preserve"> funding of is recognised as being a </w:t>
      </w:r>
      <w:r>
        <w:rPr>
          <w:rFonts w:cs="Arial"/>
          <w:szCs w:val="24"/>
        </w:rPr>
        <w:t xml:space="preserve">nationally and regionally </w:t>
      </w:r>
      <w:r w:rsidR="00AF1CEB" w:rsidRPr="005A65D5">
        <w:rPr>
          <w:rFonts w:cs="Arial"/>
          <w:szCs w:val="24"/>
        </w:rPr>
        <w:t>significant</w:t>
      </w:r>
      <w:r>
        <w:rPr>
          <w:rFonts w:cs="Arial"/>
          <w:szCs w:val="24"/>
        </w:rPr>
        <w:t xml:space="preserve"> issue</w:t>
      </w:r>
      <w:r w:rsidR="00AF1CEB" w:rsidRPr="005A65D5">
        <w:rPr>
          <w:rFonts w:cs="Arial"/>
          <w:szCs w:val="24"/>
        </w:rPr>
        <w:t>.  Whilst a significant amount of resource has been included within the MTFS to fund price increases a</w:t>
      </w:r>
      <w:r w:rsidR="00DD277C">
        <w:rPr>
          <w:rFonts w:cs="Arial"/>
          <w:szCs w:val="24"/>
        </w:rPr>
        <w:t>nd the estimated impact of the Government's National Living W</w:t>
      </w:r>
      <w:r w:rsidR="00AF1CEB" w:rsidRPr="005A65D5">
        <w:rPr>
          <w:rFonts w:cs="Arial"/>
          <w:szCs w:val="24"/>
        </w:rPr>
        <w:t>age on care providers, there are significant capacity and sustainability issues within the market wh</w:t>
      </w:r>
      <w:r>
        <w:rPr>
          <w:rFonts w:cs="Arial"/>
          <w:szCs w:val="24"/>
        </w:rPr>
        <w:t>ich the social care precept</w:t>
      </w:r>
      <w:r w:rsidR="00AF1CEB" w:rsidRPr="005A65D5">
        <w:rPr>
          <w:rFonts w:cs="Arial"/>
          <w:szCs w:val="24"/>
        </w:rPr>
        <w:t xml:space="preserve"> will only part</w:t>
      </w:r>
      <w:r w:rsidR="00DD277C">
        <w:rPr>
          <w:rFonts w:cs="Arial"/>
          <w:szCs w:val="24"/>
        </w:rPr>
        <w:t>ly help mitigate</w:t>
      </w:r>
      <w:r w:rsidR="00AF1CEB" w:rsidRPr="005A65D5">
        <w:rPr>
          <w:rFonts w:cs="Arial"/>
          <w:szCs w:val="24"/>
        </w:rPr>
        <w:t xml:space="preserve">.   </w:t>
      </w:r>
    </w:p>
    <w:p w:rsidR="00E22728" w:rsidRPr="005A65D5" w:rsidRDefault="00E22728" w:rsidP="004321DB">
      <w:pPr>
        <w:spacing w:after="0"/>
        <w:jc w:val="both"/>
        <w:rPr>
          <w:rFonts w:cs="Arial"/>
          <w:szCs w:val="24"/>
        </w:rPr>
      </w:pPr>
    </w:p>
    <w:p w:rsidR="00AF1CEB" w:rsidRPr="00522DAB" w:rsidRDefault="00522DAB" w:rsidP="004321DB">
      <w:pPr>
        <w:spacing w:after="0"/>
        <w:jc w:val="both"/>
        <w:rPr>
          <w:rFonts w:cs="Arial"/>
          <w:i/>
          <w:szCs w:val="24"/>
        </w:rPr>
      </w:pPr>
      <w:r>
        <w:rPr>
          <w:rFonts w:cs="Arial"/>
          <w:i/>
          <w:szCs w:val="24"/>
        </w:rPr>
        <w:t xml:space="preserve">11.1.5 </w:t>
      </w:r>
      <w:r w:rsidR="00AF1CEB" w:rsidRPr="00522DAB">
        <w:rPr>
          <w:rFonts w:cs="Arial"/>
          <w:i/>
          <w:szCs w:val="24"/>
        </w:rPr>
        <w:t>The Level of Reserves</w:t>
      </w:r>
    </w:p>
    <w:p w:rsidR="00AF1CEB" w:rsidRPr="005A65D5" w:rsidRDefault="00AF1CEB" w:rsidP="004321DB">
      <w:pPr>
        <w:spacing w:after="0"/>
        <w:jc w:val="both"/>
        <w:rPr>
          <w:rFonts w:cs="Arial"/>
          <w:szCs w:val="24"/>
        </w:rPr>
      </w:pPr>
    </w:p>
    <w:p w:rsidR="00DD277C" w:rsidRDefault="00AF1CEB" w:rsidP="004321DB">
      <w:pPr>
        <w:spacing w:after="0"/>
        <w:jc w:val="both"/>
        <w:rPr>
          <w:rFonts w:cs="Arial"/>
          <w:szCs w:val="24"/>
        </w:rPr>
      </w:pPr>
      <w:r w:rsidRPr="005A65D5">
        <w:rPr>
          <w:rFonts w:cs="Arial"/>
          <w:szCs w:val="24"/>
        </w:rPr>
        <w:t>The Council holds reserves for a number of reasons:</w:t>
      </w:r>
    </w:p>
    <w:p w:rsidR="00E22728" w:rsidRPr="005A65D5" w:rsidRDefault="00E22728" w:rsidP="004321DB">
      <w:pPr>
        <w:spacing w:after="0"/>
        <w:jc w:val="both"/>
        <w:rPr>
          <w:rFonts w:cs="Arial"/>
          <w:szCs w:val="24"/>
        </w:rPr>
      </w:pPr>
    </w:p>
    <w:p w:rsidR="00AF1CEB" w:rsidRPr="005A65D5" w:rsidRDefault="00AF1CEB" w:rsidP="004321DB">
      <w:pPr>
        <w:spacing w:after="0"/>
        <w:jc w:val="both"/>
        <w:rPr>
          <w:rFonts w:cs="Arial"/>
          <w:szCs w:val="24"/>
        </w:rPr>
      </w:pPr>
      <w:r w:rsidRPr="005A65D5">
        <w:rPr>
          <w:rFonts w:cs="Arial"/>
          <w:szCs w:val="24"/>
        </w:rPr>
        <w:t>• To enable the organisation to deal with unexpected events such as flooding or the destruction of a major asset through fire.</w:t>
      </w:r>
    </w:p>
    <w:p w:rsidR="00AF1CEB" w:rsidRPr="005A65D5" w:rsidRDefault="00AF1CEB" w:rsidP="004321DB">
      <w:pPr>
        <w:spacing w:after="0"/>
        <w:jc w:val="both"/>
        <w:rPr>
          <w:rFonts w:cs="Arial"/>
          <w:szCs w:val="24"/>
        </w:rPr>
      </w:pPr>
      <w:r w:rsidRPr="005A65D5">
        <w:rPr>
          <w:rFonts w:cs="Arial"/>
          <w:szCs w:val="24"/>
        </w:rPr>
        <w:t>• To enable the organisation to manage variations in the demand for services which cause in year budget pressures.</w:t>
      </w:r>
    </w:p>
    <w:p w:rsidR="00AF1CEB" w:rsidRPr="005A65D5" w:rsidRDefault="00AF1CEB" w:rsidP="004321DB">
      <w:pPr>
        <w:spacing w:after="0"/>
        <w:jc w:val="both"/>
        <w:rPr>
          <w:rFonts w:cs="Arial"/>
          <w:szCs w:val="24"/>
        </w:rPr>
      </w:pPr>
      <w:r w:rsidRPr="005A65D5">
        <w:rPr>
          <w:rFonts w:cs="Arial"/>
          <w:szCs w:val="24"/>
        </w:rPr>
        <w:t xml:space="preserve">• To fund specific projects or identified demands on the budget. </w:t>
      </w:r>
    </w:p>
    <w:p w:rsidR="00AF1CEB" w:rsidRPr="005A65D5" w:rsidRDefault="00AF1CEB" w:rsidP="004321DB">
      <w:pPr>
        <w:spacing w:after="0"/>
        <w:jc w:val="both"/>
        <w:rPr>
          <w:rFonts w:cs="Arial"/>
          <w:szCs w:val="24"/>
        </w:rPr>
      </w:pPr>
    </w:p>
    <w:p w:rsidR="00DD277C" w:rsidRDefault="00AF1CEB" w:rsidP="004321DB">
      <w:pPr>
        <w:spacing w:after="0"/>
        <w:jc w:val="both"/>
        <w:rPr>
          <w:rFonts w:cs="Arial"/>
          <w:szCs w:val="24"/>
        </w:rPr>
      </w:pPr>
      <w:r w:rsidRPr="005A65D5">
        <w:rPr>
          <w:rFonts w:cs="Arial"/>
          <w:szCs w:val="24"/>
        </w:rPr>
        <w:t xml:space="preserve">There is </w:t>
      </w:r>
      <w:r w:rsidR="00073C24">
        <w:rPr>
          <w:rFonts w:cs="Arial"/>
          <w:szCs w:val="24"/>
        </w:rPr>
        <w:t xml:space="preserve">no specified level of </w:t>
      </w:r>
      <w:r w:rsidRPr="005A65D5">
        <w:rPr>
          <w:rFonts w:cs="Arial"/>
          <w:szCs w:val="24"/>
        </w:rPr>
        <w:t>appropriate r</w:t>
      </w:r>
      <w:r w:rsidR="00073C24">
        <w:rPr>
          <w:rFonts w:cs="Arial"/>
          <w:szCs w:val="24"/>
        </w:rPr>
        <w:t>eserves for a local authority. T</w:t>
      </w:r>
      <w:r w:rsidRPr="005A65D5">
        <w:rPr>
          <w:rFonts w:cs="Arial"/>
          <w:szCs w:val="24"/>
        </w:rPr>
        <w:t>his is a matter of judgement taking into account:</w:t>
      </w:r>
    </w:p>
    <w:p w:rsidR="00E22728" w:rsidRPr="005A65D5" w:rsidRDefault="00E22728" w:rsidP="004321DB">
      <w:pPr>
        <w:spacing w:after="0"/>
        <w:jc w:val="both"/>
        <w:rPr>
          <w:rFonts w:cs="Arial"/>
          <w:szCs w:val="24"/>
        </w:rPr>
      </w:pPr>
    </w:p>
    <w:p w:rsidR="00AF1CEB" w:rsidRPr="005A65D5" w:rsidRDefault="00AF1CEB" w:rsidP="004321DB">
      <w:pPr>
        <w:spacing w:after="0"/>
        <w:jc w:val="both"/>
        <w:rPr>
          <w:rFonts w:cs="Arial"/>
          <w:szCs w:val="24"/>
        </w:rPr>
      </w:pPr>
      <w:r w:rsidRPr="005A65D5">
        <w:rPr>
          <w:rFonts w:cs="Arial"/>
          <w:szCs w:val="24"/>
        </w:rPr>
        <w:t>• The level of risk evident within the budget as set out above.</w:t>
      </w:r>
    </w:p>
    <w:p w:rsidR="00AF1CEB" w:rsidRPr="005A65D5" w:rsidRDefault="00AF1CEB" w:rsidP="004321DB">
      <w:pPr>
        <w:spacing w:after="0"/>
        <w:jc w:val="both"/>
        <w:rPr>
          <w:rFonts w:cs="Arial"/>
          <w:szCs w:val="24"/>
        </w:rPr>
      </w:pPr>
      <w:r w:rsidRPr="005A65D5">
        <w:rPr>
          <w:rFonts w:cs="Arial"/>
          <w:szCs w:val="24"/>
        </w:rPr>
        <w:t>• A judgement on the effectiveness of budgetary control within the organisation.</w:t>
      </w:r>
    </w:p>
    <w:p w:rsidR="00AF1CEB" w:rsidRPr="005A65D5" w:rsidRDefault="00AF1CEB" w:rsidP="004321DB">
      <w:pPr>
        <w:spacing w:after="0"/>
        <w:jc w:val="both"/>
        <w:rPr>
          <w:rFonts w:cs="Arial"/>
          <w:szCs w:val="24"/>
        </w:rPr>
      </w:pPr>
      <w:r w:rsidRPr="005A65D5">
        <w:rPr>
          <w:rFonts w:cs="Arial"/>
          <w:szCs w:val="24"/>
        </w:rPr>
        <w:t>• The degree to which funds have already been set aside for specific purposes which will reduce the need for general reserves.</w:t>
      </w:r>
    </w:p>
    <w:p w:rsidR="00AF1CEB" w:rsidRPr="005A65D5" w:rsidRDefault="00AF1CEB" w:rsidP="004321DB">
      <w:pPr>
        <w:spacing w:after="0"/>
        <w:jc w:val="both"/>
        <w:rPr>
          <w:rFonts w:cs="Arial"/>
          <w:szCs w:val="24"/>
        </w:rPr>
      </w:pPr>
    </w:p>
    <w:p w:rsidR="00AF1CEB" w:rsidRPr="005A65D5" w:rsidRDefault="00AF1CEB" w:rsidP="004321DB">
      <w:pPr>
        <w:spacing w:after="0"/>
        <w:jc w:val="both"/>
        <w:rPr>
          <w:rFonts w:cs="Arial"/>
          <w:szCs w:val="24"/>
        </w:rPr>
      </w:pPr>
      <w:r w:rsidRPr="005A65D5">
        <w:rPr>
          <w:rFonts w:cs="Arial"/>
          <w:szCs w:val="24"/>
        </w:rPr>
        <w:t xml:space="preserve">Previous reports to Cabinet have clearly identified that the revenue budget </w:t>
      </w:r>
      <w:r w:rsidR="00073C24">
        <w:rPr>
          <w:rFonts w:cs="Arial"/>
          <w:szCs w:val="24"/>
        </w:rPr>
        <w:t xml:space="preserve">for 2016/17 and 2017/18 </w:t>
      </w:r>
      <w:r w:rsidRPr="005A65D5">
        <w:rPr>
          <w:rFonts w:cs="Arial"/>
          <w:szCs w:val="24"/>
        </w:rPr>
        <w:t>will be heavily supported by reserves.</w:t>
      </w:r>
      <w:r w:rsidR="00DD277C">
        <w:rPr>
          <w:rFonts w:cs="Arial"/>
          <w:szCs w:val="24"/>
        </w:rPr>
        <w:t xml:space="preserve"> Except for th</w:t>
      </w:r>
      <w:r w:rsidRPr="005A65D5">
        <w:rPr>
          <w:rFonts w:cs="Arial"/>
          <w:szCs w:val="24"/>
        </w:rPr>
        <w:t>e County Fund</w:t>
      </w:r>
      <w:r w:rsidR="00DD277C">
        <w:rPr>
          <w:rFonts w:cs="Arial"/>
          <w:szCs w:val="24"/>
        </w:rPr>
        <w:t>, all available reserves</w:t>
      </w:r>
      <w:r w:rsidRPr="005A65D5">
        <w:rPr>
          <w:rFonts w:cs="Arial"/>
          <w:szCs w:val="24"/>
        </w:rPr>
        <w:t xml:space="preserve"> are now</w:t>
      </w:r>
      <w:r w:rsidR="001536AB">
        <w:rPr>
          <w:rFonts w:cs="Arial"/>
          <w:szCs w:val="24"/>
        </w:rPr>
        <w:t xml:space="preserve"> fully committed over the next two</w:t>
      </w:r>
      <w:r w:rsidRPr="005A65D5">
        <w:rPr>
          <w:rFonts w:cs="Arial"/>
          <w:szCs w:val="24"/>
        </w:rPr>
        <w:t xml:space="preserve"> years and will not </w:t>
      </w:r>
      <w:r w:rsidR="00DD277C">
        <w:rPr>
          <w:rFonts w:cs="Arial"/>
          <w:szCs w:val="24"/>
        </w:rPr>
        <w:t>b</w:t>
      </w:r>
      <w:r w:rsidRPr="005A65D5">
        <w:rPr>
          <w:rFonts w:cs="Arial"/>
          <w:szCs w:val="24"/>
        </w:rPr>
        <w:t>e available in later years to support m</w:t>
      </w:r>
      <w:r w:rsidR="00DD277C">
        <w:rPr>
          <w:rFonts w:cs="Arial"/>
          <w:szCs w:val="24"/>
        </w:rPr>
        <w:t>anaging future</w:t>
      </w:r>
      <w:r w:rsidRPr="005A65D5">
        <w:rPr>
          <w:rFonts w:cs="Arial"/>
          <w:szCs w:val="24"/>
        </w:rPr>
        <w:t xml:space="preserve"> budget pressures.</w:t>
      </w:r>
      <w:r w:rsidR="00073C24">
        <w:rPr>
          <w:rFonts w:cs="Arial"/>
          <w:szCs w:val="24"/>
        </w:rPr>
        <w:t xml:space="preserve"> It is proposed that the County Fund remains set at £36m.</w:t>
      </w:r>
    </w:p>
    <w:p w:rsidR="00AF1CEB" w:rsidRPr="005A65D5" w:rsidRDefault="00AF1CEB" w:rsidP="004321DB">
      <w:pPr>
        <w:spacing w:after="0"/>
        <w:jc w:val="both"/>
        <w:rPr>
          <w:rFonts w:cs="Arial"/>
          <w:szCs w:val="24"/>
        </w:rPr>
      </w:pPr>
    </w:p>
    <w:p w:rsidR="00AF1CEB" w:rsidRPr="005A65D5" w:rsidRDefault="001536AB" w:rsidP="004321DB">
      <w:pPr>
        <w:spacing w:after="0"/>
        <w:jc w:val="both"/>
        <w:rPr>
          <w:rFonts w:cs="Arial"/>
          <w:szCs w:val="24"/>
        </w:rPr>
      </w:pPr>
      <w:r>
        <w:rPr>
          <w:rFonts w:cs="Arial"/>
          <w:szCs w:val="24"/>
        </w:rPr>
        <w:t xml:space="preserve">As shown in table 9 of this report, </w:t>
      </w:r>
      <w:r w:rsidR="00AF1CEB" w:rsidRPr="005A65D5">
        <w:rPr>
          <w:rFonts w:cs="Arial"/>
          <w:szCs w:val="24"/>
        </w:rPr>
        <w:t>the Council has an appropriate level of reserves</w:t>
      </w:r>
      <w:r>
        <w:rPr>
          <w:rFonts w:cs="Arial"/>
          <w:szCs w:val="24"/>
        </w:rPr>
        <w:t xml:space="preserve"> available to manage the</w:t>
      </w:r>
      <w:r w:rsidR="00AF1CEB" w:rsidRPr="005A65D5">
        <w:rPr>
          <w:rFonts w:cs="Arial"/>
          <w:szCs w:val="24"/>
        </w:rPr>
        <w:t xml:space="preserve"> financial risk in 2016/17, but </w:t>
      </w:r>
      <w:r>
        <w:rPr>
          <w:rFonts w:cs="Arial"/>
          <w:szCs w:val="24"/>
        </w:rPr>
        <w:t xml:space="preserve">there are </w:t>
      </w:r>
      <w:r w:rsidR="00AF1CEB" w:rsidRPr="005A65D5">
        <w:rPr>
          <w:rFonts w:cs="Arial"/>
          <w:szCs w:val="24"/>
        </w:rPr>
        <w:t xml:space="preserve">not </w:t>
      </w:r>
      <w:r>
        <w:rPr>
          <w:rFonts w:cs="Arial"/>
          <w:szCs w:val="24"/>
        </w:rPr>
        <w:t xml:space="preserve">sufficient reserves available </w:t>
      </w:r>
      <w:r w:rsidR="00AF1CEB" w:rsidRPr="005A65D5">
        <w:rPr>
          <w:rFonts w:cs="Arial"/>
          <w:szCs w:val="24"/>
        </w:rPr>
        <w:t>in 2017/18</w:t>
      </w:r>
      <w:r w:rsidR="00DD277C">
        <w:rPr>
          <w:rFonts w:cs="Arial"/>
          <w:szCs w:val="24"/>
        </w:rPr>
        <w:t xml:space="preserve">. It is </w:t>
      </w:r>
      <w:r>
        <w:rPr>
          <w:rFonts w:cs="Arial"/>
          <w:szCs w:val="24"/>
        </w:rPr>
        <w:t xml:space="preserve">therefore </w:t>
      </w:r>
      <w:r w:rsidR="00AF1CEB" w:rsidRPr="005A65D5">
        <w:rPr>
          <w:rFonts w:cs="Arial"/>
          <w:szCs w:val="24"/>
        </w:rPr>
        <w:t xml:space="preserve">critical that the zero based budget work identifies and is able to deliver additional savings over the next two years </w:t>
      </w:r>
      <w:r>
        <w:rPr>
          <w:rFonts w:cs="Arial"/>
          <w:szCs w:val="24"/>
        </w:rPr>
        <w:t>in addition</w:t>
      </w:r>
      <w:r w:rsidR="00DD277C">
        <w:rPr>
          <w:rFonts w:cs="Arial"/>
          <w:szCs w:val="24"/>
        </w:rPr>
        <w:t xml:space="preserve"> </w:t>
      </w:r>
      <w:r w:rsidR="00AF1CEB" w:rsidRPr="005A65D5">
        <w:rPr>
          <w:rFonts w:cs="Arial"/>
          <w:szCs w:val="24"/>
        </w:rPr>
        <w:t xml:space="preserve">to those </w:t>
      </w:r>
      <w:r w:rsidR="00DD277C">
        <w:rPr>
          <w:rFonts w:cs="Arial"/>
          <w:szCs w:val="24"/>
        </w:rPr>
        <w:t xml:space="preserve">savings </w:t>
      </w:r>
      <w:r w:rsidR="00AF1CEB" w:rsidRPr="005A65D5">
        <w:rPr>
          <w:rFonts w:cs="Arial"/>
          <w:szCs w:val="24"/>
        </w:rPr>
        <w:t xml:space="preserve">already agreed.  </w:t>
      </w:r>
    </w:p>
    <w:p w:rsidR="00AF1CEB" w:rsidRPr="005A65D5" w:rsidRDefault="00AF1CEB" w:rsidP="004321DB">
      <w:pPr>
        <w:spacing w:after="0"/>
        <w:jc w:val="both"/>
        <w:rPr>
          <w:rFonts w:cs="Arial"/>
          <w:szCs w:val="24"/>
        </w:rPr>
      </w:pPr>
    </w:p>
    <w:p w:rsidR="001536AB" w:rsidRDefault="001536AB">
      <w:pPr>
        <w:rPr>
          <w:rFonts w:cs="Arial"/>
          <w:b/>
          <w:szCs w:val="24"/>
        </w:rPr>
      </w:pPr>
      <w:r>
        <w:rPr>
          <w:rFonts w:cs="Arial"/>
          <w:b/>
          <w:szCs w:val="24"/>
        </w:rPr>
        <w:br w:type="page"/>
      </w:r>
    </w:p>
    <w:p w:rsidR="00AF1CEB" w:rsidRPr="00522DAB" w:rsidRDefault="00522DAB" w:rsidP="004321DB">
      <w:pPr>
        <w:spacing w:after="0"/>
        <w:jc w:val="both"/>
        <w:rPr>
          <w:rFonts w:cs="Arial"/>
          <w:b/>
          <w:szCs w:val="24"/>
        </w:rPr>
      </w:pPr>
      <w:r>
        <w:rPr>
          <w:rFonts w:cs="Arial"/>
          <w:b/>
          <w:szCs w:val="24"/>
        </w:rPr>
        <w:lastRenderedPageBreak/>
        <w:t xml:space="preserve">12. </w:t>
      </w:r>
      <w:r w:rsidR="00AF1CEB" w:rsidRPr="00522DAB">
        <w:rPr>
          <w:rFonts w:cs="Arial"/>
          <w:b/>
          <w:szCs w:val="24"/>
        </w:rPr>
        <w:t>Conclusion</w:t>
      </w:r>
    </w:p>
    <w:p w:rsidR="00AF1CEB" w:rsidRPr="005A65D5" w:rsidRDefault="00AF1CEB" w:rsidP="004321DB">
      <w:pPr>
        <w:spacing w:after="0"/>
        <w:jc w:val="both"/>
        <w:rPr>
          <w:rFonts w:cs="Arial"/>
          <w:szCs w:val="24"/>
        </w:rPr>
      </w:pPr>
    </w:p>
    <w:p w:rsidR="002C7323" w:rsidRDefault="00AF1CEB" w:rsidP="004321DB">
      <w:pPr>
        <w:spacing w:after="0"/>
        <w:jc w:val="both"/>
        <w:rPr>
          <w:rFonts w:cs="Arial"/>
          <w:szCs w:val="24"/>
        </w:rPr>
      </w:pPr>
      <w:r w:rsidRPr="005A65D5">
        <w:rPr>
          <w:rFonts w:cs="Arial"/>
          <w:szCs w:val="24"/>
        </w:rPr>
        <w:t>Following the budget risk assessment undertaken early in the year, ongoing detailed budget monitor</w:t>
      </w:r>
      <w:r w:rsidR="001536AB">
        <w:rPr>
          <w:rFonts w:cs="Arial"/>
          <w:szCs w:val="24"/>
        </w:rPr>
        <w:t xml:space="preserve">ing, base budget review work </w:t>
      </w:r>
      <w:r w:rsidRPr="005A65D5">
        <w:rPr>
          <w:rFonts w:cs="Arial"/>
          <w:szCs w:val="24"/>
        </w:rPr>
        <w:t>and detailed review of the current reserves commitments, a balanced budget f</w:t>
      </w:r>
      <w:r w:rsidR="001656A0">
        <w:rPr>
          <w:rFonts w:cs="Arial"/>
          <w:szCs w:val="24"/>
        </w:rPr>
        <w:t>or 2016/17 with the use of £64.1</w:t>
      </w:r>
      <w:r w:rsidRPr="005A65D5">
        <w:rPr>
          <w:rFonts w:cs="Arial"/>
          <w:szCs w:val="24"/>
        </w:rPr>
        <w:t xml:space="preserve">m of reserves can be recommended.  </w:t>
      </w:r>
    </w:p>
    <w:p w:rsidR="002C7323" w:rsidRDefault="002C7323" w:rsidP="004321DB">
      <w:pPr>
        <w:spacing w:after="0"/>
        <w:jc w:val="both"/>
        <w:rPr>
          <w:rFonts w:cs="Arial"/>
          <w:szCs w:val="24"/>
        </w:rPr>
      </w:pPr>
    </w:p>
    <w:p w:rsidR="002C7323" w:rsidRDefault="00AF1CEB" w:rsidP="004321DB">
      <w:pPr>
        <w:spacing w:after="0"/>
        <w:jc w:val="both"/>
        <w:rPr>
          <w:rFonts w:cs="Arial"/>
          <w:szCs w:val="24"/>
        </w:rPr>
      </w:pPr>
      <w:r w:rsidRPr="005A65D5">
        <w:rPr>
          <w:rFonts w:cs="Arial"/>
          <w:szCs w:val="24"/>
        </w:rPr>
        <w:t xml:space="preserve">However, this is clearly dependent on all budget options agreed at Cabinet in November </w:t>
      </w:r>
      <w:r w:rsidR="001536AB">
        <w:rPr>
          <w:rFonts w:cs="Arial"/>
          <w:szCs w:val="24"/>
        </w:rPr>
        <w:t xml:space="preserve">2015 </w:t>
      </w:r>
      <w:r w:rsidRPr="005A65D5">
        <w:rPr>
          <w:rFonts w:cs="Arial"/>
          <w:szCs w:val="24"/>
        </w:rPr>
        <w:t xml:space="preserve">being delivered fully within the timeframes identified, along with the other savings agreed in previous budget cycles.  Should any of these budget options ultimately not be taken forward they will need to be replaced with alternative savings to avoid increasing the size of the </w:t>
      </w:r>
      <w:r w:rsidR="002C7323">
        <w:rPr>
          <w:rFonts w:cs="Arial"/>
          <w:szCs w:val="24"/>
        </w:rPr>
        <w:t xml:space="preserve">funding </w:t>
      </w:r>
      <w:r w:rsidRPr="005A65D5">
        <w:rPr>
          <w:rFonts w:cs="Arial"/>
          <w:szCs w:val="24"/>
        </w:rPr>
        <w:t>gap</w:t>
      </w:r>
      <w:r w:rsidR="002C7323">
        <w:rPr>
          <w:rFonts w:cs="Arial"/>
          <w:szCs w:val="24"/>
        </w:rPr>
        <w:t>.</w:t>
      </w:r>
    </w:p>
    <w:p w:rsidR="002C7323" w:rsidRDefault="002C7323" w:rsidP="004321DB">
      <w:pPr>
        <w:spacing w:after="0"/>
        <w:jc w:val="both"/>
        <w:rPr>
          <w:rFonts w:cs="Arial"/>
          <w:szCs w:val="24"/>
        </w:rPr>
      </w:pPr>
    </w:p>
    <w:p w:rsidR="00AF1CEB" w:rsidRPr="005A65D5" w:rsidRDefault="002C7323" w:rsidP="004321DB">
      <w:pPr>
        <w:spacing w:after="0"/>
        <w:jc w:val="both"/>
        <w:rPr>
          <w:rFonts w:cs="Arial"/>
          <w:szCs w:val="24"/>
        </w:rPr>
      </w:pPr>
      <w:r>
        <w:rPr>
          <w:rFonts w:cs="Arial"/>
          <w:szCs w:val="24"/>
        </w:rPr>
        <w:t>T</w:t>
      </w:r>
      <w:r w:rsidR="00D94626">
        <w:rPr>
          <w:rFonts w:cs="Arial"/>
          <w:szCs w:val="24"/>
        </w:rPr>
        <w:t>here is</w:t>
      </w:r>
      <w:r>
        <w:rPr>
          <w:rFonts w:cs="Arial"/>
          <w:szCs w:val="24"/>
        </w:rPr>
        <w:t xml:space="preserve"> a furthe</w:t>
      </w:r>
      <w:r w:rsidRPr="00182FA4">
        <w:rPr>
          <w:rFonts w:cs="Arial"/>
          <w:szCs w:val="24"/>
        </w:rPr>
        <w:t xml:space="preserve">r </w:t>
      </w:r>
      <w:r w:rsidR="00AF1CEB" w:rsidRPr="00182FA4">
        <w:rPr>
          <w:rFonts w:cs="Arial"/>
          <w:szCs w:val="24"/>
        </w:rPr>
        <w:t>£</w:t>
      </w:r>
      <w:r w:rsidR="00CA73CC" w:rsidRPr="00182FA4">
        <w:rPr>
          <w:rFonts w:cs="Arial"/>
          <w:szCs w:val="24"/>
        </w:rPr>
        <w:t>1</w:t>
      </w:r>
      <w:r w:rsidR="00503CD6" w:rsidRPr="00182FA4">
        <w:rPr>
          <w:rFonts w:cs="Arial"/>
          <w:szCs w:val="24"/>
        </w:rPr>
        <w:t>7</w:t>
      </w:r>
      <w:r w:rsidR="00CA73CC" w:rsidRPr="00182FA4">
        <w:rPr>
          <w:rFonts w:cs="Arial"/>
          <w:szCs w:val="24"/>
        </w:rPr>
        <w:t>.</w:t>
      </w:r>
      <w:r w:rsidR="00503CD6" w:rsidRPr="00182FA4">
        <w:rPr>
          <w:rFonts w:cs="Arial"/>
          <w:szCs w:val="24"/>
        </w:rPr>
        <w:t>6</w:t>
      </w:r>
      <w:r w:rsidR="00CA73CC" w:rsidRPr="00182FA4">
        <w:rPr>
          <w:rFonts w:cs="Arial"/>
          <w:szCs w:val="24"/>
        </w:rPr>
        <w:t>0</w:t>
      </w:r>
      <w:r w:rsidR="00503CD6" w:rsidRPr="00182FA4">
        <w:rPr>
          <w:rFonts w:cs="Arial"/>
          <w:szCs w:val="24"/>
        </w:rPr>
        <w:t>3</w:t>
      </w:r>
      <w:r w:rsidR="00AF1CEB" w:rsidRPr="00182FA4">
        <w:rPr>
          <w:rFonts w:cs="Arial"/>
          <w:szCs w:val="24"/>
        </w:rPr>
        <w:t>m</w:t>
      </w:r>
      <w:r w:rsidR="00AF1CEB" w:rsidRPr="005A65D5">
        <w:rPr>
          <w:rFonts w:cs="Arial"/>
          <w:szCs w:val="24"/>
        </w:rPr>
        <w:t xml:space="preserve"> of savings to be identified relating to the remaining </w:t>
      </w:r>
      <w:r w:rsidR="00D94626">
        <w:rPr>
          <w:rFonts w:cs="Arial"/>
          <w:szCs w:val="24"/>
        </w:rPr>
        <w:t xml:space="preserve">funding </w:t>
      </w:r>
      <w:r w:rsidR="00AF1CEB" w:rsidRPr="005A65D5">
        <w:rPr>
          <w:rFonts w:cs="Arial"/>
          <w:szCs w:val="24"/>
        </w:rPr>
        <w:t>gap in 2016/17</w:t>
      </w:r>
      <w:r w:rsidR="00D94626">
        <w:rPr>
          <w:rFonts w:cs="Arial"/>
          <w:szCs w:val="24"/>
        </w:rPr>
        <w:t>,</w:t>
      </w:r>
      <w:r w:rsidR="00AF1CEB" w:rsidRPr="005A65D5">
        <w:rPr>
          <w:rFonts w:cs="Arial"/>
          <w:szCs w:val="24"/>
        </w:rPr>
        <w:t xml:space="preserve"> that will ne</w:t>
      </w:r>
      <w:r>
        <w:rPr>
          <w:rFonts w:cs="Arial"/>
          <w:szCs w:val="24"/>
        </w:rPr>
        <w:t xml:space="preserve">ed to be delivered by 2017/18. </w:t>
      </w:r>
      <w:r w:rsidR="001536AB">
        <w:rPr>
          <w:rFonts w:cs="Arial"/>
          <w:szCs w:val="24"/>
        </w:rPr>
        <w:t xml:space="preserve">This cannot be met from reserves as there are already </w:t>
      </w:r>
      <w:r w:rsidR="00AF1CEB" w:rsidRPr="005A65D5">
        <w:rPr>
          <w:rFonts w:cs="Arial"/>
          <w:szCs w:val="24"/>
        </w:rPr>
        <w:t xml:space="preserve">insufficient reserves </w:t>
      </w:r>
      <w:r w:rsidR="001536AB">
        <w:rPr>
          <w:rFonts w:cs="Arial"/>
          <w:szCs w:val="24"/>
        </w:rPr>
        <w:t>to meet the estimated funding gap in 2017/18</w:t>
      </w:r>
      <w:r w:rsidR="00AF1CEB" w:rsidRPr="005A65D5">
        <w:rPr>
          <w:rFonts w:cs="Arial"/>
          <w:szCs w:val="24"/>
        </w:rPr>
        <w:t xml:space="preserve">.  </w:t>
      </w:r>
    </w:p>
    <w:p w:rsidR="00AF1CEB" w:rsidRPr="005A65D5" w:rsidRDefault="00AF1CEB" w:rsidP="004321DB">
      <w:pPr>
        <w:spacing w:after="0"/>
        <w:jc w:val="both"/>
        <w:rPr>
          <w:rFonts w:cs="Arial"/>
          <w:szCs w:val="24"/>
        </w:rPr>
      </w:pPr>
    </w:p>
    <w:p w:rsidR="00AF1CEB" w:rsidRPr="005A65D5" w:rsidRDefault="001536AB" w:rsidP="004321DB">
      <w:pPr>
        <w:spacing w:after="0"/>
        <w:jc w:val="both"/>
        <w:rPr>
          <w:rFonts w:cs="Arial"/>
          <w:szCs w:val="24"/>
        </w:rPr>
      </w:pPr>
      <w:r>
        <w:rPr>
          <w:rFonts w:cs="Arial"/>
          <w:szCs w:val="24"/>
        </w:rPr>
        <w:t xml:space="preserve">The budget targets can only be met as a result of a careful and systematic review </w:t>
      </w:r>
      <w:r w:rsidR="00D94626">
        <w:rPr>
          <w:rFonts w:cs="Arial"/>
          <w:szCs w:val="24"/>
        </w:rPr>
        <w:t xml:space="preserve">of services and a revised delivery model. </w:t>
      </w:r>
      <w:r>
        <w:rPr>
          <w:rFonts w:cs="Arial"/>
          <w:szCs w:val="24"/>
        </w:rPr>
        <w:t>T</w:t>
      </w:r>
      <w:r w:rsidR="00AF1CEB" w:rsidRPr="005A65D5">
        <w:rPr>
          <w:rFonts w:cs="Arial"/>
          <w:szCs w:val="24"/>
        </w:rPr>
        <w:t xml:space="preserve">he </w:t>
      </w:r>
      <w:r w:rsidR="00D94626">
        <w:rPr>
          <w:rFonts w:cs="Arial"/>
          <w:szCs w:val="24"/>
        </w:rPr>
        <w:t>use of a ze</w:t>
      </w:r>
      <w:r w:rsidR="00AF1CEB" w:rsidRPr="005A65D5">
        <w:rPr>
          <w:rFonts w:cs="Arial"/>
          <w:szCs w:val="24"/>
        </w:rPr>
        <w:t>ro based approach, moving towards the lowest quartile of the most appropriate comparator group, will need to make early progress during 2016/17 to meet th</w:t>
      </w:r>
      <w:r w:rsidR="00D94626">
        <w:rPr>
          <w:rFonts w:cs="Arial"/>
          <w:szCs w:val="24"/>
        </w:rPr>
        <w:t>e 2016/17 and 2017/18 funding gaps. Consideration will need to be</w:t>
      </w:r>
      <w:r w:rsidR="005B5DFD">
        <w:rPr>
          <w:rFonts w:cs="Arial"/>
          <w:szCs w:val="24"/>
        </w:rPr>
        <w:t xml:space="preserve"> </w:t>
      </w:r>
      <w:r w:rsidR="00D94626">
        <w:rPr>
          <w:rFonts w:cs="Arial"/>
          <w:szCs w:val="24"/>
        </w:rPr>
        <w:t xml:space="preserve">given </w:t>
      </w:r>
      <w:r w:rsidR="005B5DFD">
        <w:rPr>
          <w:rFonts w:cs="Arial"/>
          <w:szCs w:val="24"/>
        </w:rPr>
        <w:t xml:space="preserve">as to </w:t>
      </w:r>
      <w:r w:rsidR="00AF1CEB" w:rsidRPr="005A65D5">
        <w:rPr>
          <w:rFonts w:cs="Arial"/>
          <w:szCs w:val="24"/>
        </w:rPr>
        <w:t>whether a sustainable financial position will be ac</w:t>
      </w:r>
      <w:r w:rsidR="00D94626">
        <w:rPr>
          <w:rFonts w:cs="Arial"/>
          <w:szCs w:val="24"/>
        </w:rPr>
        <w:t>hievable over a longer period</w:t>
      </w:r>
      <w:r w:rsidR="005B5DFD">
        <w:rPr>
          <w:rFonts w:cs="Arial"/>
          <w:szCs w:val="24"/>
        </w:rPr>
        <w:t>, as</w:t>
      </w:r>
      <w:r w:rsidR="00D94626">
        <w:rPr>
          <w:rFonts w:cs="Arial"/>
          <w:szCs w:val="24"/>
        </w:rPr>
        <w:t xml:space="preserve"> t</w:t>
      </w:r>
      <w:r w:rsidR="00AF1CEB" w:rsidRPr="005A65D5">
        <w:rPr>
          <w:rFonts w:cs="Arial"/>
          <w:szCs w:val="24"/>
        </w:rPr>
        <w:t xml:space="preserve">here is a strong likelihood that </w:t>
      </w:r>
      <w:r w:rsidR="002C7323">
        <w:rPr>
          <w:rFonts w:cs="Arial"/>
          <w:szCs w:val="24"/>
        </w:rPr>
        <w:t xml:space="preserve">by 2017/18 </w:t>
      </w:r>
      <w:r w:rsidR="00AF1CEB" w:rsidRPr="005A65D5">
        <w:rPr>
          <w:rFonts w:cs="Arial"/>
          <w:szCs w:val="24"/>
        </w:rPr>
        <w:t>the County Council will be unable to set a budget which will meet the cost of the statutory responsibilities.</w:t>
      </w:r>
    </w:p>
    <w:p w:rsidR="00AF1CEB" w:rsidRPr="005A65D5" w:rsidRDefault="00AF1CEB" w:rsidP="004321DB">
      <w:pPr>
        <w:spacing w:after="0"/>
        <w:jc w:val="both"/>
        <w:rPr>
          <w:rFonts w:cs="Arial"/>
          <w:b/>
          <w:szCs w:val="24"/>
        </w:rPr>
      </w:pPr>
    </w:p>
    <w:p w:rsidR="001536AB" w:rsidRDefault="001536AB" w:rsidP="004321DB">
      <w:pPr>
        <w:pStyle w:val="NoSpacing"/>
        <w:spacing w:line="276" w:lineRule="auto"/>
      </w:pPr>
    </w:p>
    <w:sectPr w:rsidR="001536AB" w:rsidSect="00C50B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1F" w:rsidRDefault="0043791F" w:rsidP="007A02AF">
      <w:pPr>
        <w:spacing w:after="0" w:line="240" w:lineRule="auto"/>
      </w:pPr>
      <w:r>
        <w:separator/>
      </w:r>
    </w:p>
  </w:endnote>
  <w:endnote w:type="continuationSeparator" w:id="0">
    <w:p w:rsidR="0043791F" w:rsidRDefault="0043791F" w:rsidP="007A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1F" w:rsidRDefault="0043791F">
    <w:pPr>
      <w:pStyle w:val="Footer"/>
      <w:jc w:val="center"/>
    </w:pPr>
  </w:p>
  <w:p w:rsidR="0043791F" w:rsidRDefault="00437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1F" w:rsidRDefault="0043791F" w:rsidP="007A02AF">
      <w:pPr>
        <w:spacing w:after="0" w:line="240" w:lineRule="auto"/>
      </w:pPr>
      <w:r>
        <w:separator/>
      </w:r>
    </w:p>
  </w:footnote>
  <w:footnote w:type="continuationSeparator" w:id="0">
    <w:p w:rsidR="0043791F" w:rsidRDefault="0043791F" w:rsidP="007A0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92" w:rsidRPr="00267E92" w:rsidRDefault="00267E92" w:rsidP="00267E92">
    <w:pPr>
      <w:pStyle w:val="Header"/>
      <w:jc w:val="right"/>
      <w:rPr>
        <w:b/>
      </w:rPr>
    </w:pPr>
    <w:r w:rsidRPr="00267E92">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27E11"/>
    <w:multiLevelType w:val="hybridMultilevel"/>
    <w:tmpl w:val="DF3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0B6D"/>
    <w:multiLevelType w:val="hybridMultilevel"/>
    <w:tmpl w:val="F2C88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D73D0"/>
    <w:multiLevelType w:val="hybridMultilevel"/>
    <w:tmpl w:val="914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C7D02"/>
    <w:multiLevelType w:val="hybridMultilevel"/>
    <w:tmpl w:val="ED44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72B68"/>
    <w:multiLevelType w:val="hybridMultilevel"/>
    <w:tmpl w:val="401A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212FF"/>
    <w:multiLevelType w:val="hybridMultilevel"/>
    <w:tmpl w:val="F14E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A1AE7"/>
    <w:multiLevelType w:val="hybridMultilevel"/>
    <w:tmpl w:val="086C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511EB"/>
    <w:multiLevelType w:val="hybridMultilevel"/>
    <w:tmpl w:val="49DE1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A040AE"/>
    <w:multiLevelType w:val="multilevel"/>
    <w:tmpl w:val="5E9E6036"/>
    <w:lvl w:ilvl="0">
      <w:start w:val="4"/>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9625A3"/>
    <w:multiLevelType w:val="hybridMultilevel"/>
    <w:tmpl w:val="B404A02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86529E"/>
    <w:multiLevelType w:val="hybridMultilevel"/>
    <w:tmpl w:val="8F3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C1795"/>
    <w:multiLevelType w:val="hybridMultilevel"/>
    <w:tmpl w:val="065660EC"/>
    <w:lvl w:ilvl="0" w:tplc="9A80B360">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7F0ADE"/>
    <w:multiLevelType w:val="hybridMultilevel"/>
    <w:tmpl w:val="160E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66A5B"/>
    <w:multiLevelType w:val="hybridMultilevel"/>
    <w:tmpl w:val="05EA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5"/>
  </w:num>
  <w:num w:numId="6">
    <w:abstractNumId w:val="11"/>
  </w:num>
  <w:num w:numId="7">
    <w:abstractNumId w:val="6"/>
  </w:num>
  <w:num w:numId="8">
    <w:abstractNumId w:val="10"/>
  </w:num>
  <w:num w:numId="9">
    <w:abstractNumId w:val="3"/>
  </w:num>
  <w:num w:numId="10">
    <w:abstractNumId w:val="2"/>
  </w:num>
  <w:num w:numId="11">
    <w:abstractNumId w:val="13"/>
  </w:num>
  <w:num w:numId="12">
    <w:abstractNumId w:val="12"/>
  </w:num>
  <w:num w:numId="13">
    <w:abstractNumId w:val="7"/>
  </w:num>
  <w:num w:numId="14">
    <w:abstractNumId w:val="8"/>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93"/>
    <w:rsid w:val="00002131"/>
    <w:rsid w:val="00010358"/>
    <w:rsid w:val="0001640E"/>
    <w:rsid w:val="000167FA"/>
    <w:rsid w:val="0002062B"/>
    <w:rsid w:val="0003042F"/>
    <w:rsid w:val="00031FEC"/>
    <w:rsid w:val="000326F0"/>
    <w:rsid w:val="00032C20"/>
    <w:rsid w:val="00034058"/>
    <w:rsid w:val="000346DC"/>
    <w:rsid w:val="00034DD4"/>
    <w:rsid w:val="000351B6"/>
    <w:rsid w:val="00035C87"/>
    <w:rsid w:val="00042F63"/>
    <w:rsid w:val="00050C9F"/>
    <w:rsid w:val="000513D7"/>
    <w:rsid w:val="000518A4"/>
    <w:rsid w:val="00052ADB"/>
    <w:rsid w:val="00054F61"/>
    <w:rsid w:val="00055E30"/>
    <w:rsid w:val="00065F6F"/>
    <w:rsid w:val="00073C24"/>
    <w:rsid w:val="00075B93"/>
    <w:rsid w:val="00082634"/>
    <w:rsid w:val="00086200"/>
    <w:rsid w:val="00087F0C"/>
    <w:rsid w:val="000920B1"/>
    <w:rsid w:val="00096EFC"/>
    <w:rsid w:val="000A05A8"/>
    <w:rsid w:val="000A3791"/>
    <w:rsid w:val="000A6738"/>
    <w:rsid w:val="000C2DAE"/>
    <w:rsid w:val="000C6FFB"/>
    <w:rsid w:val="000D0B44"/>
    <w:rsid w:val="000D2180"/>
    <w:rsid w:val="000D5891"/>
    <w:rsid w:val="000D7AC2"/>
    <w:rsid w:val="000E1783"/>
    <w:rsid w:val="000E27D4"/>
    <w:rsid w:val="000E3432"/>
    <w:rsid w:val="000F292A"/>
    <w:rsid w:val="00106F30"/>
    <w:rsid w:val="00112E62"/>
    <w:rsid w:val="00116220"/>
    <w:rsid w:val="001253C8"/>
    <w:rsid w:val="00127ADB"/>
    <w:rsid w:val="00130051"/>
    <w:rsid w:val="00134075"/>
    <w:rsid w:val="00145341"/>
    <w:rsid w:val="00151A93"/>
    <w:rsid w:val="001536AB"/>
    <w:rsid w:val="00153BC0"/>
    <w:rsid w:val="00157CD6"/>
    <w:rsid w:val="00163514"/>
    <w:rsid w:val="001652B2"/>
    <w:rsid w:val="001656A0"/>
    <w:rsid w:val="00170C26"/>
    <w:rsid w:val="00172784"/>
    <w:rsid w:val="00172DFA"/>
    <w:rsid w:val="00173291"/>
    <w:rsid w:val="00173A58"/>
    <w:rsid w:val="00176ADA"/>
    <w:rsid w:val="0018241D"/>
    <w:rsid w:val="00182FA4"/>
    <w:rsid w:val="001A1F97"/>
    <w:rsid w:val="001A65D6"/>
    <w:rsid w:val="001B04BD"/>
    <w:rsid w:val="001B12BE"/>
    <w:rsid w:val="001C6DF0"/>
    <w:rsid w:val="001D0484"/>
    <w:rsid w:val="001D0C34"/>
    <w:rsid w:val="001D4931"/>
    <w:rsid w:val="001E5B52"/>
    <w:rsid w:val="001F3654"/>
    <w:rsid w:val="001F45FB"/>
    <w:rsid w:val="00216070"/>
    <w:rsid w:val="0022038B"/>
    <w:rsid w:val="00222049"/>
    <w:rsid w:val="002236B9"/>
    <w:rsid w:val="00224963"/>
    <w:rsid w:val="002261FE"/>
    <w:rsid w:val="00230711"/>
    <w:rsid w:val="00230DBB"/>
    <w:rsid w:val="00232AE9"/>
    <w:rsid w:val="00234D9D"/>
    <w:rsid w:val="00235088"/>
    <w:rsid w:val="00235811"/>
    <w:rsid w:val="00236EFC"/>
    <w:rsid w:val="002376B9"/>
    <w:rsid w:val="00237B6B"/>
    <w:rsid w:val="00240C46"/>
    <w:rsid w:val="00246CB4"/>
    <w:rsid w:val="00252456"/>
    <w:rsid w:val="00252953"/>
    <w:rsid w:val="0026320C"/>
    <w:rsid w:val="00264CF4"/>
    <w:rsid w:val="00266F4E"/>
    <w:rsid w:val="00267E92"/>
    <w:rsid w:val="00272254"/>
    <w:rsid w:val="0027365C"/>
    <w:rsid w:val="00280636"/>
    <w:rsid w:val="00283CA2"/>
    <w:rsid w:val="0029176C"/>
    <w:rsid w:val="00293909"/>
    <w:rsid w:val="002A4B32"/>
    <w:rsid w:val="002A6196"/>
    <w:rsid w:val="002B2A08"/>
    <w:rsid w:val="002C7323"/>
    <w:rsid w:val="002C7EEA"/>
    <w:rsid w:val="002D4C0A"/>
    <w:rsid w:val="002D500E"/>
    <w:rsid w:val="002D74F2"/>
    <w:rsid w:val="002E382D"/>
    <w:rsid w:val="002E691D"/>
    <w:rsid w:val="002F0D1E"/>
    <w:rsid w:val="0031170D"/>
    <w:rsid w:val="0031682E"/>
    <w:rsid w:val="00316AB9"/>
    <w:rsid w:val="00317256"/>
    <w:rsid w:val="00317423"/>
    <w:rsid w:val="003205A9"/>
    <w:rsid w:val="00327CA4"/>
    <w:rsid w:val="003337CC"/>
    <w:rsid w:val="00335EAE"/>
    <w:rsid w:val="00337117"/>
    <w:rsid w:val="00343217"/>
    <w:rsid w:val="00344586"/>
    <w:rsid w:val="00345D9F"/>
    <w:rsid w:val="00347417"/>
    <w:rsid w:val="00351D95"/>
    <w:rsid w:val="00363761"/>
    <w:rsid w:val="00365979"/>
    <w:rsid w:val="0036718B"/>
    <w:rsid w:val="0037026E"/>
    <w:rsid w:val="00375447"/>
    <w:rsid w:val="003803BF"/>
    <w:rsid w:val="003808D3"/>
    <w:rsid w:val="00382F83"/>
    <w:rsid w:val="00384F9B"/>
    <w:rsid w:val="003A307C"/>
    <w:rsid w:val="003A3DA2"/>
    <w:rsid w:val="003B4292"/>
    <w:rsid w:val="003B5C24"/>
    <w:rsid w:val="003C0621"/>
    <w:rsid w:val="003D19FA"/>
    <w:rsid w:val="003E3AE5"/>
    <w:rsid w:val="003E3C92"/>
    <w:rsid w:val="003E4C8D"/>
    <w:rsid w:val="003E4DC9"/>
    <w:rsid w:val="003F17A9"/>
    <w:rsid w:val="003F4D11"/>
    <w:rsid w:val="003F7268"/>
    <w:rsid w:val="004034E7"/>
    <w:rsid w:val="00424AA3"/>
    <w:rsid w:val="00430242"/>
    <w:rsid w:val="004321DB"/>
    <w:rsid w:val="0043791F"/>
    <w:rsid w:val="00437A66"/>
    <w:rsid w:val="0044456F"/>
    <w:rsid w:val="004501F1"/>
    <w:rsid w:val="0045026B"/>
    <w:rsid w:val="004508B4"/>
    <w:rsid w:val="0045334D"/>
    <w:rsid w:val="00453F02"/>
    <w:rsid w:val="004548EE"/>
    <w:rsid w:val="00455D99"/>
    <w:rsid w:val="0046396F"/>
    <w:rsid w:val="00466306"/>
    <w:rsid w:val="004674A7"/>
    <w:rsid w:val="004708F6"/>
    <w:rsid w:val="004717DE"/>
    <w:rsid w:val="004733D8"/>
    <w:rsid w:val="00481A9B"/>
    <w:rsid w:val="00482684"/>
    <w:rsid w:val="00484791"/>
    <w:rsid w:val="00492946"/>
    <w:rsid w:val="004941FD"/>
    <w:rsid w:val="0049500B"/>
    <w:rsid w:val="00495FF2"/>
    <w:rsid w:val="00497271"/>
    <w:rsid w:val="004A29A2"/>
    <w:rsid w:val="004C039D"/>
    <w:rsid w:val="004C0F29"/>
    <w:rsid w:val="004C3B69"/>
    <w:rsid w:val="004C63E1"/>
    <w:rsid w:val="004D1948"/>
    <w:rsid w:val="004D22F1"/>
    <w:rsid w:val="004D47FD"/>
    <w:rsid w:val="004E1E5E"/>
    <w:rsid w:val="004E77FF"/>
    <w:rsid w:val="004F0715"/>
    <w:rsid w:val="004F3237"/>
    <w:rsid w:val="004F48E0"/>
    <w:rsid w:val="00501ED3"/>
    <w:rsid w:val="00503CD6"/>
    <w:rsid w:val="005107A8"/>
    <w:rsid w:val="00510EEE"/>
    <w:rsid w:val="00511EA8"/>
    <w:rsid w:val="0051637C"/>
    <w:rsid w:val="0051679A"/>
    <w:rsid w:val="005170FB"/>
    <w:rsid w:val="00522DAB"/>
    <w:rsid w:val="00523321"/>
    <w:rsid w:val="00523C75"/>
    <w:rsid w:val="0052785B"/>
    <w:rsid w:val="005310B1"/>
    <w:rsid w:val="00531146"/>
    <w:rsid w:val="005347EA"/>
    <w:rsid w:val="00543EC0"/>
    <w:rsid w:val="00545F55"/>
    <w:rsid w:val="00546F65"/>
    <w:rsid w:val="005502D3"/>
    <w:rsid w:val="00550B04"/>
    <w:rsid w:val="005670CA"/>
    <w:rsid w:val="00572D19"/>
    <w:rsid w:val="00580475"/>
    <w:rsid w:val="005837F9"/>
    <w:rsid w:val="005866C6"/>
    <w:rsid w:val="00593941"/>
    <w:rsid w:val="00596C7F"/>
    <w:rsid w:val="005A65D5"/>
    <w:rsid w:val="005A79EE"/>
    <w:rsid w:val="005B0DED"/>
    <w:rsid w:val="005B5DFD"/>
    <w:rsid w:val="005D07BE"/>
    <w:rsid w:val="005D3A12"/>
    <w:rsid w:val="005D4262"/>
    <w:rsid w:val="005D7791"/>
    <w:rsid w:val="005D77F3"/>
    <w:rsid w:val="005E0A2B"/>
    <w:rsid w:val="005E2B85"/>
    <w:rsid w:val="005E44DC"/>
    <w:rsid w:val="005F5124"/>
    <w:rsid w:val="005F6645"/>
    <w:rsid w:val="00600591"/>
    <w:rsid w:val="006029FA"/>
    <w:rsid w:val="006050DB"/>
    <w:rsid w:val="0060578F"/>
    <w:rsid w:val="00606AA0"/>
    <w:rsid w:val="006107C6"/>
    <w:rsid w:val="00611EEF"/>
    <w:rsid w:val="00617C9B"/>
    <w:rsid w:val="00624D24"/>
    <w:rsid w:val="00626AB1"/>
    <w:rsid w:val="00627BE2"/>
    <w:rsid w:val="00632869"/>
    <w:rsid w:val="0063297E"/>
    <w:rsid w:val="006340A4"/>
    <w:rsid w:val="006357C3"/>
    <w:rsid w:val="0064103D"/>
    <w:rsid w:val="0064451B"/>
    <w:rsid w:val="00644A32"/>
    <w:rsid w:val="00646DD9"/>
    <w:rsid w:val="00655C87"/>
    <w:rsid w:val="00661624"/>
    <w:rsid w:val="00665B69"/>
    <w:rsid w:val="00670AB0"/>
    <w:rsid w:val="00674E35"/>
    <w:rsid w:val="00674E42"/>
    <w:rsid w:val="00676561"/>
    <w:rsid w:val="006766EB"/>
    <w:rsid w:val="00683216"/>
    <w:rsid w:val="006835A9"/>
    <w:rsid w:val="00683A37"/>
    <w:rsid w:val="00683F8E"/>
    <w:rsid w:val="0068511F"/>
    <w:rsid w:val="006961F0"/>
    <w:rsid w:val="00697455"/>
    <w:rsid w:val="006A1A3B"/>
    <w:rsid w:val="006A216A"/>
    <w:rsid w:val="006A2F32"/>
    <w:rsid w:val="006A73F6"/>
    <w:rsid w:val="006A7DCA"/>
    <w:rsid w:val="006B30FA"/>
    <w:rsid w:val="006B43E1"/>
    <w:rsid w:val="006B5214"/>
    <w:rsid w:val="006C35D4"/>
    <w:rsid w:val="006C3CB7"/>
    <w:rsid w:val="006C47CA"/>
    <w:rsid w:val="006D004E"/>
    <w:rsid w:val="006D25E6"/>
    <w:rsid w:val="006D5753"/>
    <w:rsid w:val="006D57A9"/>
    <w:rsid w:val="006D7BB3"/>
    <w:rsid w:val="006E22F7"/>
    <w:rsid w:val="006E4C82"/>
    <w:rsid w:val="006F0F6D"/>
    <w:rsid w:val="006F1E8A"/>
    <w:rsid w:val="006F2722"/>
    <w:rsid w:val="006F6120"/>
    <w:rsid w:val="006F7254"/>
    <w:rsid w:val="006F7838"/>
    <w:rsid w:val="007042B7"/>
    <w:rsid w:val="0070649C"/>
    <w:rsid w:val="0070766C"/>
    <w:rsid w:val="007209C8"/>
    <w:rsid w:val="007274A6"/>
    <w:rsid w:val="00727CA3"/>
    <w:rsid w:val="00736F79"/>
    <w:rsid w:val="00743B5B"/>
    <w:rsid w:val="00750028"/>
    <w:rsid w:val="00750F3F"/>
    <w:rsid w:val="007521A0"/>
    <w:rsid w:val="00752FC6"/>
    <w:rsid w:val="00756222"/>
    <w:rsid w:val="00766F10"/>
    <w:rsid w:val="00773B1F"/>
    <w:rsid w:val="00787A09"/>
    <w:rsid w:val="0079295B"/>
    <w:rsid w:val="007954AD"/>
    <w:rsid w:val="007A02AF"/>
    <w:rsid w:val="007A55F5"/>
    <w:rsid w:val="007B35C1"/>
    <w:rsid w:val="007C41AC"/>
    <w:rsid w:val="007D3028"/>
    <w:rsid w:val="007D37F0"/>
    <w:rsid w:val="007E2BED"/>
    <w:rsid w:val="007E34E2"/>
    <w:rsid w:val="007E4110"/>
    <w:rsid w:val="007F0882"/>
    <w:rsid w:val="007F16A8"/>
    <w:rsid w:val="007F2C85"/>
    <w:rsid w:val="007F48D7"/>
    <w:rsid w:val="00800174"/>
    <w:rsid w:val="00803070"/>
    <w:rsid w:val="00806352"/>
    <w:rsid w:val="008107C5"/>
    <w:rsid w:val="00810F59"/>
    <w:rsid w:val="008119AF"/>
    <w:rsid w:val="00813899"/>
    <w:rsid w:val="008146DB"/>
    <w:rsid w:val="00816367"/>
    <w:rsid w:val="00816D99"/>
    <w:rsid w:val="00830CAF"/>
    <w:rsid w:val="00831B9F"/>
    <w:rsid w:val="008344C8"/>
    <w:rsid w:val="00845017"/>
    <w:rsid w:val="00847F33"/>
    <w:rsid w:val="00852A93"/>
    <w:rsid w:val="00855D18"/>
    <w:rsid w:val="00862074"/>
    <w:rsid w:val="00863D72"/>
    <w:rsid w:val="00866D75"/>
    <w:rsid w:val="00867A8C"/>
    <w:rsid w:val="00872414"/>
    <w:rsid w:val="008736A8"/>
    <w:rsid w:val="00881BB5"/>
    <w:rsid w:val="00883AEC"/>
    <w:rsid w:val="0088407A"/>
    <w:rsid w:val="0088661A"/>
    <w:rsid w:val="008905BB"/>
    <w:rsid w:val="008921A0"/>
    <w:rsid w:val="00892B9B"/>
    <w:rsid w:val="008933A2"/>
    <w:rsid w:val="0089421B"/>
    <w:rsid w:val="008A0687"/>
    <w:rsid w:val="008A2A1A"/>
    <w:rsid w:val="008B480A"/>
    <w:rsid w:val="008B4F8B"/>
    <w:rsid w:val="008C0267"/>
    <w:rsid w:val="008C0E4A"/>
    <w:rsid w:val="008C47BB"/>
    <w:rsid w:val="008C5824"/>
    <w:rsid w:val="008D3827"/>
    <w:rsid w:val="008D3C3D"/>
    <w:rsid w:val="008D3FBE"/>
    <w:rsid w:val="008E05C5"/>
    <w:rsid w:val="008E4942"/>
    <w:rsid w:val="008E6229"/>
    <w:rsid w:val="008F2516"/>
    <w:rsid w:val="008F308D"/>
    <w:rsid w:val="008F5A06"/>
    <w:rsid w:val="008F7561"/>
    <w:rsid w:val="00907D24"/>
    <w:rsid w:val="00907DCE"/>
    <w:rsid w:val="009112E3"/>
    <w:rsid w:val="00922715"/>
    <w:rsid w:val="009264F1"/>
    <w:rsid w:val="00934822"/>
    <w:rsid w:val="00947699"/>
    <w:rsid w:val="009537EC"/>
    <w:rsid w:val="00953D0D"/>
    <w:rsid w:val="009542AB"/>
    <w:rsid w:val="0097096D"/>
    <w:rsid w:val="00981C26"/>
    <w:rsid w:val="009970D7"/>
    <w:rsid w:val="009A7115"/>
    <w:rsid w:val="009B6685"/>
    <w:rsid w:val="009B7385"/>
    <w:rsid w:val="009C2FCA"/>
    <w:rsid w:val="009C6D93"/>
    <w:rsid w:val="009E1057"/>
    <w:rsid w:val="009E24A6"/>
    <w:rsid w:val="009E5B30"/>
    <w:rsid w:val="009E64B3"/>
    <w:rsid w:val="009E6B90"/>
    <w:rsid w:val="009F206C"/>
    <w:rsid w:val="009F2D84"/>
    <w:rsid w:val="009F4FEC"/>
    <w:rsid w:val="00A02A48"/>
    <w:rsid w:val="00A04A8E"/>
    <w:rsid w:val="00A052A7"/>
    <w:rsid w:val="00A17861"/>
    <w:rsid w:val="00A22DE4"/>
    <w:rsid w:val="00A2343A"/>
    <w:rsid w:val="00A25653"/>
    <w:rsid w:val="00A2745D"/>
    <w:rsid w:val="00A275B3"/>
    <w:rsid w:val="00A27B8C"/>
    <w:rsid w:val="00A31313"/>
    <w:rsid w:val="00A34F05"/>
    <w:rsid w:val="00A379DB"/>
    <w:rsid w:val="00A6112A"/>
    <w:rsid w:val="00A6485F"/>
    <w:rsid w:val="00A70411"/>
    <w:rsid w:val="00A73239"/>
    <w:rsid w:val="00A7692F"/>
    <w:rsid w:val="00A76BC6"/>
    <w:rsid w:val="00A7763F"/>
    <w:rsid w:val="00A93928"/>
    <w:rsid w:val="00A93E0E"/>
    <w:rsid w:val="00A94A2C"/>
    <w:rsid w:val="00AA35F3"/>
    <w:rsid w:val="00AB0789"/>
    <w:rsid w:val="00AB3CF4"/>
    <w:rsid w:val="00AB63BD"/>
    <w:rsid w:val="00AC1C30"/>
    <w:rsid w:val="00AC1F0C"/>
    <w:rsid w:val="00AC4805"/>
    <w:rsid w:val="00AC7A0F"/>
    <w:rsid w:val="00AD38DF"/>
    <w:rsid w:val="00AD4022"/>
    <w:rsid w:val="00AD5323"/>
    <w:rsid w:val="00AD6638"/>
    <w:rsid w:val="00AD6ABB"/>
    <w:rsid w:val="00AE3E3C"/>
    <w:rsid w:val="00AF1CEB"/>
    <w:rsid w:val="00AF241E"/>
    <w:rsid w:val="00AF3C02"/>
    <w:rsid w:val="00AF4A13"/>
    <w:rsid w:val="00AF4B85"/>
    <w:rsid w:val="00AF5273"/>
    <w:rsid w:val="00B023AD"/>
    <w:rsid w:val="00B05B90"/>
    <w:rsid w:val="00B12912"/>
    <w:rsid w:val="00B14420"/>
    <w:rsid w:val="00B160D5"/>
    <w:rsid w:val="00B16B98"/>
    <w:rsid w:val="00B268C0"/>
    <w:rsid w:val="00B34772"/>
    <w:rsid w:val="00B405A9"/>
    <w:rsid w:val="00B54A96"/>
    <w:rsid w:val="00B55353"/>
    <w:rsid w:val="00B55ABC"/>
    <w:rsid w:val="00B623AD"/>
    <w:rsid w:val="00B62A2E"/>
    <w:rsid w:val="00B64ACD"/>
    <w:rsid w:val="00B71651"/>
    <w:rsid w:val="00B748D6"/>
    <w:rsid w:val="00B75154"/>
    <w:rsid w:val="00B825A0"/>
    <w:rsid w:val="00B82D9A"/>
    <w:rsid w:val="00B84902"/>
    <w:rsid w:val="00B8575E"/>
    <w:rsid w:val="00B8648B"/>
    <w:rsid w:val="00B86B3B"/>
    <w:rsid w:val="00B95CD8"/>
    <w:rsid w:val="00BA5B07"/>
    <w:rsid w:val="00BA6803"/>
    <w:rsid w:val="00BB0958"/>
    <w:rsid w:val="00BC09EF"/>
    <w:rsid w:val="00BC0C05"/>
    <w:rsid w:val="00BC2DA4"/>
    <w:rsid w:val="00BC3FE1"/>
    <w:rsid w:val="00BC5C91"/>
    <w:rsid w:val="00BD3BA6"/>
    <w:rsid w:val="00BD4222"/>
    <w:rsid w:val="00BD50DA"/>
    <w:rsid w:val="00BE1D7B"/>
    <w:rsid w:val="00BF33F4"/>
    <w:rsid w:val="00BF5992"/>
    <w:rsid w:val="00BF6302"/>
    <w:rsid w:val="00C0169E"/>
    <w:rsid w:val="00C145DE"/>
    <w:rsid w:val="00C2222D"/>
    <w:rsid w:val="00C32635"/>
    <w:rsid w:val="00C327AE"/>
    <w:rsid w:val="00C333F0"/>
    <w:rsid w:val="00C3597B"/>
    <w:rsid w:val="00C36FEB"/>
    <w:rsid w:val="00C50BD4"/>
    <w:rsid w:val="00C54EDA"/>
    <w:rsid w:val="00C65BAF"/>
    <w:rsid w:val="00C73C41"/>
    <w:rsid w:val="00C75AEC"/>
    <w:rsid w:val="00C76E73"/>
    <w:rsid w:val="00C81680"/>
    <w:rsid w:val="00C86DAA"/>
    <w:rsid w:val="00C95E4F"/>
    <w:rsid w:val="00C971BA"/>
    <w:rsid w:val="00CA2EBC"/>
    <w:rsid w:val="00CA461C"/>
    <w:rsid w:val="00CA73CC"/>
    <w:rsid w:val="00CB36F8"/>
    <w:rsid w:val="00CB3C68"/>
    <w:rsid w:val="00CB4FA0"/>
    <w:rsid w:val="00CC311C"/>
    <w:rsid w:val="00CC70E0"/>
    <w:rsid w:val="00CD1090"/>
    <w:rsid w:val="00CD5307"/>
    <w:rsid w:val="00CE76CA"/>
    <w:rsid w:val="00CF4938"/>
    <w:rsid w:val="00CF6C2B"/>
    <w:rsid w:val="00CF7290"/>
    <w:rsid w:val="00D0078E"/>
    <w:rsid w:val="00D0554C"/>
    <w:rsid w:val="00D1717A"/>
    <w:rsid w:val="00D1773D"/>
    <w:rsid w:val="00D21727"/>
    <w:rsid w:val="00D23FFB"/>
    <w:rsid w:val="00D24AE3"/>
    <w:rsid w:val="00D25947"/>
    <w:rsid w:val="00D27B61"/>
    <w:rsid w:val="00D3412A"/>
    <w:rsid w:val="00D40154"/>
    <w:rsid w:val="00D40226"/>
    <w:rsid w:val="00D4182B"/>
    <w:rsid w:val="00D45004"/>
    <w:rsid w:val="00D46268"/>
    <w:rsid w:val="00D467C0"/>
    <w:rsid w:val="00D50233"/>
    <w:rsid w:val="00D54916"/>
    <w:rsid w:val="00D550E8"/>
    <w:rsid w:val="00D61C9C"/>
    <w:rsid w:val="00D64297"/>
    <w:rsid w:val="00D675AE"/>
    <w:rsid w:val="00D753D4"/>
    <w:rsid w:val="00D75FD2"/>
    <w:rsid w:val="00D770EC"/>
    <w:rsid w:val="00D77763"/>
    <w:rsid w:val="00D80A6B"/>
    <w:rsid w:val="00D85710"/>
    <w:rsid w:val="00D91899"/>
    <w:rsid w:val="00D91CB5"/>
    <w:rsid w:val="00D94626"/>
    <w:rsid w:val="00D95E0B"/>
    <w:rsid w:val="00D965E8"/>
    <w:rsid w:val="00D96EE4"/>
    <w:rsid w:val="00DA2EEC"/>
    <w:rsid w:val="00DA38BF"/>
    <w:rsid w:val="00DA7D82"/>
    <w:rsid w:val="00DB0DA7"/>
    <w:rsid w:val="00DC081E"/>
    <w:rsid w:val="00DC2FDB"/>
    <w:rsid w:val="00DC77B6"/>
    <w:rsid w:val="00DD20CF"/>
    <w:rsid w:val="00DD277C"/>
    <w:rsid w:val="00DD618D"/>
    <w:rsid w:val="00DE1ADC"/>
    <w:rsid w:val="00DE3D94"/>
    <w:rsid w:val="00DE6C17"/>
    <w:rsid w:val="00DF0B16"/>
    <w:rsid w:val="00DF1C04"/>
    <w:rsid w:val="00DF3491"/>
    <w:rsid w:val="00DF5474"/>
    <w:rsid w:val="00DF61D0"/>
    <w:rsid w:val="00E01A82"/>
    <w:rsid w:val="00E143F4"/>
    <w:rsid w:val="00E1660A"/>
    <w:rsid w:val="00E20879"/>
    <w:rsid w:val="00E22728"/>
    <w:rsid w:val="00E306DD"/>
    <w:rsid w:val="00E3274B"/>
    <w:rsid w:val="00E4206E"/>
    <w:rsid w:val="00E50825"/>
    <w:rsid w:val="00E510D1"/>
    <w:rsid w:val="00E51E0E"/>
    <w:rsid w:val="00E54DF2"/>
    <w:rsid w:val="00E572B6"/>
    <w:rsid w:val="00E6003E"/>
    <w:rsid w:val="00E72046"/>
    <w:rsid w:val="00E76F60"/>
    <w:rsid w:val="00E80641"/>
    <w:rsid w:val="00E8787E"/>
    <w:rsid w:val="00E90830"/>
    <w:rsid w:val="00E917F6"/>
    <w:rsid w:val="00E96E42"/>
    <w:rsid w:val="00EA0F97"/>
    <w:rsid w:val="00EA1CA6"/>
    <w:rsid w:val="00EA22B0"/>
    <w:rsid w:val="00EA34E3"/>
    <w:rsid w:val="00EA505A"/>
    <w:rsid w:val="00EB0663"/>
    <w:rsid w:val="00EB4EC6"/>
    <w:rsid w:val="00EB6EC2"/>
    <w:rsid w:val="00EC11C4"/>
    <w:rsid w:val="00EC69EB"/>
    <w:rsid w:val="00ED2B56"/>
    <w:rsid w:val="00ED50EF"/>
    <w:rsid w:val="00EE0166"/>
    <w:rsid w:val="00EE06A5"/>
    <w:rsid w:val="00EE414E"/>
    <w:rsid w:val="00F037E8"/>
    <w:rsid w:val="00F0448F"/>
    <w:rsid w:val="00F06710"/>
    <w:rsid w:val="00F077DD"/>
    <w:rsid w:val="00F10AAE"/>
    <w:rsid w:val="00F10CDE"/>
    <w:rsid w:val="00F16A68"/>
    <w:rsid w:val="00F17FF8"/>
    <w:rsid w:val="00F20867"/>
    <w:rsid w:val="00F25DA2"/>
    <w:rsid w:val="00F271D0"/>
    <w:rsid w:val="00F30781"/>
    <w:rsid w:val="00F31AB6"/>
    <w:rsid w:val="00F4518F"/>
    <w:rsid w:val="00F458F3"/>
    <w:rsid w:val="00F71098"/>
    <w:rsid w:val="00F71CDE"/>
    <w:rsid w:val="00F71F98"/>
    <w:rsid w:val="00F76AAE"/>
    <w:rsid w:val="00F858F5"/>
    <w:rsid w:val="00F905D3"/>
    <w:rsid w:val="00FA0012"/>
    <w:rsid w:val="00FA1542"/>
    <w:rsid w:val="00FA3D55"/>
    <w:rsid w:val="00FA7CFE"/>
    <w:rsid w:val="00FB080F"/>
    <w:rsid w:val="00FB798D"/>
    <w:rsid w:val="00FC4B07"/>
    <w:rsid w:val="00FC6721"/>
    <w:rsid w:val="00FC7666"/>
    <w:rsid w:val="00FE1E7E"/>
    <w:rsid w:val="00FE2303"/>
    <w:rsid w:val="00FE3BD8"/>
    <w:rsid w:val="00FE3DFE"/>
    <w:rsid w:val="00FE47CF"/>
    <w:rsid w:val="00FF0FC2"/>
    <w:rsid w:val="00FF20C7"/>
    <w:rsid w:val="00FF313F"/>
    <w:rsid w:val="00FF5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5F5B0B-7898-4E76-AEFC-F767037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28"/>
    <w:rPr>
      <w:rFonts w:ascii="Arial" w:hAnsi="Arial" w:cs="Times New Roman"/>
      <w:sz w:val="24"/>
    </w:rPr>
  </w:style>
  <w:style w:type="paragraph" w:styleId="Heading2">
    <w:name w:val="heading 2"/>
    <w:basedOn w:val="Normal"/>
    <w:next w:val="Normal"/>
    <w:link w:val="Heading2Char"/>
    <w:uiPriority w:val="9"/>
    <w:qFormat/>
    <w:rsid w:val="00FF5809"/>
    <w:pPr>
      <w:keepNext/>
      <w:spacing w:after="0" w:line="240" w:lineRule="auto"/>
      <w:outlineLvl w:val="1"/>
    </w:pPr>
    <w:rPr>
      <w:rFonts w:cs="Arial"/>
      <w:b/>
      <w:bCs/>
      <w:i/>
      <w:iCs/>
      <w:szCs w:val="24"/>
    </w:rPr>
  </w:style>
  <w:style w:type="paragraph" w:styleId="Heading3">
    <w:name w:val="heading 3"/>
    <w:basedOn w:val="Normal"/>
    <w:next w:val="Normal"/>
    <w:link w:val="Heading3Char"/>
    <w:uiPriority w:val="9"/>
    <w:qFormat/>
    <w:rsid w:val="00FF5809"/>
    <w:pPr>
      <w:keepNext/>
      <w:spacing w:after="0" w:line="240" w:lineRule="auto"/>
      <w:outlineLvl w:val="2"/>
    </w:pPr>
    <w:rPr>
      <w:rFonts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F5809"/>
    <w:rPr>
      <w:rFonts w:ascii="Arial" w:hAnsi="Arial" w:cs="Arial"/>
      <w:b/>
      <w:bCs/>
      <w:i/>
      <w:iCs/>
      <w:sz w:val="24"/>
      <w:szCs w:val="24"/>
    </w:rPr>
  </w:style>
  <w:style w:type="character" w:customStyle="1" w:styleId="Heading3Char">
    <w:name w:val="Heading 3 Char"/>
    <w:basedOn w:val="DefaultParagraphFont"/>
    <w:link w:val="Heading3"/>
    <w:uiPriority w:val="9"/>
    <w:locked/>
    <w:rsid w:val="00FF5809"/>
    <w:rPr>
      <w:rFonts w:ascii="Arial" w:hAnsi="Arial" w:cs="Arial"/>
      <w:i/>
      <w:iCs/>
      <w:sz w:val="24"/>
      <w:szCs w:val="24"/>
    </w:rPr>
  </w:style>
  <w:style w:type="paragraph" w:styleId="ListParagraph">
    <w:name w:val="List Paragraph"/>
    <w:basedOn w:val="Normal"/>
    <w:link w:val="ListParagraphChar"/>
    <w:uiPriority w:val="34"/>
    <w:qFormat/>
    <w:rsid w:val="00151A93"/>
    <w:pPr>
      <w:ind w:left="720"/>
      <w:contextualSpacing/>
    </w:pPr>
  </w:style>
  <w:style w:type="character" w:styleId="Hyperlink">
    <w:name w:val="Hyperlink"/>
    <w:basedOn w:val="DefaultParagraphFont"/>
    <w:uiPriority w:val="99"/>
    <w:unhideWhenUsed/>
    <w:rsid w:val="009E5B30"/>
    <w:rPr>
      <w:rFonts w:cs="Times New Roman"/>
      <w:color w:val="0000FF" w:themeColor="hyperlink"/>
      <w:u w:val="single"/>
    </w:rPr>
  </w:style>
  <w:style w:type="table" w:styleId="TableGrid">
    <w:name w:val="Table Grid"/>
    <w:basedOn w:val="TableNormal"/>
    <w:uiPriority w:val="39"/>
    <w:rsid w:val="00054F6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86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773D"/>
    <w:rPr>
      <w:rFonts w:cs="Times New Roman"/>
      <w:sz w:val="16"/>
      <w:szCs w:val="16"/>
    </w:rPr>
  </w:style>
  <w:style w:type="paragraph" w:styleId="CommentText">
    <w:name w:val="annotation text"/>
    <w:basedOn w:val="Normal"/>
    <w:link w:val="CommentTextChar"/>
    <w:uiPriority w:val="99"/>
    <w:semiHidden/>
    <w:unhideWhenUsed/>
    <w:rsid w:val="00D177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773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73D"/>
    <w:rPr>
      <w:b/>
      <w:bCs/>
    </w:rPr>
  </w:style>
  <w:style w:type="character" w:customStyle="1" w:styleId="CommentSubjectChar">
    <w:name w:val="Comment Subject Char"/>
    <w:basedOn w:val="CommentTextChar"/>
    <w:link w:val="CommentSubject"/>
    <w:uiPriority w:val="99"/>
    <w:semiHidden/>
    <w:locked/>
    <w:rsid w:val="00D1773D"/>
    <w:rPr>
      <w:rFonts w:ascii="Arial" w:hAnsi="Arial" w:cs="Times New Roman"/>
      <w:b/>
      <w:bCs/>
      <w:sz w:val="20"/>
      <w:szCs w:val="20"/>
    </w:rPr>
  </w:style>
  <w:style w:type="paragraph" w:styleId="BalloonText">
    <w:name w:val="Balloon Text"/>
    <w:basedOn w:val="Normal"/>
    <w:link w:val="BalloonTextChar"/>
    <w:uiPriority w:val="99"/>
    <w:semiHidden/>
    <w:unhideWhenUsed/>
    <w:rsid w:val="00D1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73D"/>
    <w:rPr>
      <w:rFonts w:ascii="Tahoma" w:hAnsi="Tahoma" w:cs="Tahoma"/>
      <w:sz w:val="16"/>
      <w:szCs w:val="16"/>
    </w:rPr>
  </w:style>
  <w:style w:type="character" w:styleId="FollowedHyperlink">
    <w:name w:val="FollowedHyperlink"/>
    <w:basedOn w:val="DefaultParagraphFont"/>
    <w:uiPriority w:val="99"/>
    <w:semiHidden/>
    <w:unhideWhenUsed/>
    <w:rsid w:val="0097096D"/>
    <w:rPr>
      <w:rFonts w:cs="Times New Roman"/>
      <w:color w:val="800080" w:themeColor="followedHyperlink"/>
      <w:u w:val="single"/>
    </w:rPr>
  </w:style>
  <w:style w:type="table" w:customStyle="1" w:styleId="TableGrid1">
    <w:name w:val="Table Grid1"/>
    <w:basedOn w:val="TableNormal"/>
    <w:next w:val="TableGrid"/>
    <w:locked/>
    <w:rsid w:val="00032C2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683216"/>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863D7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1A3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26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55353"/>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3A3DA2"/>
    <w:rPr>
      <w:rFonts w:ascii="Arial" w:hAnsi="Arial" w:cs="Times New Roman"/>
      <w:sz w:val="24"/>
    </w:rPr>
  </w:style>
  <w:style w:type="table" w:customStyle="1" w:styleId="TableGrid8">
    <w:name w:val="Table Grid8"/>
    <w:basedOn w:val="TableNormal"/>
    <w:next w:val="TableGrid"/>
    <w:uiPriority w:val="59"/>
    <w:rsid w:val="005E44D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ABB"/>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8661A"/>
    <w:pPr>
      <w:numPr>
        <w:numId w:val="3"/>
      </w:numPr>
      <w:contextualSpacing/>
    </w:pPr>
  </w:style>
  <w:style w:type="paragraph" w:styleId="Header">
    <w:name w:val="header"/>
    <w:basedOn w:val="Normal"/>
    <w:link w:val="HeaderChar"/>
    <w:uiPriority w:val="99"/>
    <w:unhideWhenUsed/>
    <w:rsid w:val="007A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AF"/>
    <w:rPr>
      <w:rFonts w:ascii="Arial" w:hAnsi="Arial" w:cs="Times New Roman"/>
      <w:sz w:val="24"/>
    </w:rPr>
  </w:style>
  <w:style w:type="paragraph" w:styleId="Footer">
    <w:name w:val="footer"/>
    <w:basedOn w:val="Normal"/>
    <w:link w:val="FooterChar"/>
    <w:uiPriority w:val="99"/>
    <w:unhideWhenUsed/>
    <w:rsid w:val="007A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AF"/>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Meetings.aspx?CommitteeId=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4B94-964E-4FA8-8ED6-5E516D65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6574</Words>
  <Characters>36024</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Graham</dc:creator>
  <cp:lastModifiedBy>Mulligan, Janet</cp:lastModifiedBy>
  <cp:revision>4</cp:revision>
  <cp:lastPrinted>2016-02-02T10:10:00Z</cp:lastPrinted>
  <dcterms:created xsi:type="dcterms:W3CDTF">2016-02-04T09:22:00Z</dcterms:created>
  <dcterms:modified xsi:type="dcterms:W3CDTF">2016-02-04T10:27:00Z</dcterms:modified>
</cp:coreProperties>
</file>